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DE" w:rsidRDefault="00951CDE">
      <w:pPr>
        <w:pStyle w:val="Corpsdetexte"/>
        <w:rPr>
          <w:rFonts w:ascii="Times New Roman"/>
          <w:sz w:val="20"/>
        </w:rPr>
      </w:pPr>
    </w:p>
    <w:p w:rsidR="00951CDE" w:rsidRDefault="00951CDE">
      <w:pPr>
        <w:pStyle w:val="Corpsdetexte"/>
        <w:rPr>
          <w:rFonts w:ascii="Times New Roman"/>
          <w:sz w:val="20"/>
        </w:rPr>
      </w:pPr>
    </w:p>
    <w:p w:rsidR="00951CDE" w:rsidRDefault="00951CDE">
      <w:pPr>
        <w:pStyle w:val="Corpsdetexte"/>
        <w:rPr>
          <w:rFonts w:ascii="Times New Roman"/>
          <w:sz w:val="20"/>
        </w:rPr>
      </w:pPr>
    </w:p>
    <w:p w:rsidR="00951CDE" w:rsidRDefault="00951CDE">
      <w:pPr>
        <w:pStyle w:val="Corpsdetexte"/>
        <w:rPr>
          <w:rFonts w:ascii="Times New Roman"/>
          <w:sz w:val="20"/>
        </w:rPr>
      </w:pPr>
    </w:p>
    <w:p w:rsidR="00951CDE" w:rsidRDefault="00951CDE">
      <w:pPr>
        <w:pStyle w:val="Corpsdetexte"/>
        <w:rPr>
          <w:rFonts w:ascii="Times New Roman"/>
          <w:sz w:val="20"/>
        </w:rPr>
      </w:pPr>
    </w:p>
    <w:p w:rsidR="00951CDE" w:rsidRDefault="00971CD9" w:rsidP="00971CD9">
      <w:pPr>
        <w:pStyle w:val="Corpsdetexte"/>
        <w:jc w:val="center"/>
        <w:rPr>
          <w:rFonts w:ascii="Times New Roman"/>
          <w:sz w:val="20"/>
        </w:rPr>
      </w:pPr>
      <w:r>
        <w:rPr>
          <w:rFonts w:ascii="Times New Roman"/>
          <w:noProof/>
          <w:sz w:val="20"/>
          <w:lang w:val="fr-FR" w:eastAsia="fr-FR"/>
        </w:rPr>
        <w:drawing>
          <wp:inline distT="0" distB="0" distL="0" distR="0">
            <wp:extent cx="4805610" cy="3163693"/>
            <wp:effectExtent l="0" t="0" r="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ADT Touraine S. Frém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1037" cy="3180432"/>
                    </a:xfrm>
                    <a:prstGeom prst="rect">
                      <a:avLst/>
                    </a:prstGeom>
                  </pic:spPr>
                </pic:pic>
              </a:graphicData>
            </a:graphic>
          </wp:inline>
        </w:drawing>
      </w:r>
    </w:p>
    <w:p w:rsidR="00951CDE" w:rsidRDefault="00951CDE">
      <w:pPr>
        <w:pStyle w:val="Corpsdetexte"/>
        <w:rPr>
          <w:rFonts w:ascii="Times New Roman"/>
          <w:sz w:val="20"/>
        </w:rPr>
      </w:pPr>
    </w:p>
    <w:p w:rsidR="00951CDE" w:rsidRDefault="00951CDE">
      <w:pPr>
        <w:pStyle w:val="Corpsdetexte"/>
        <w:rPr>
          <w:rFonts w:ascii="Times New Roman"/>
          <w:sz w:val="20"/>
        </w:rPr>
      </w:pPr>
    </w:p>
    <w:p w:rsidR="00951CDE" w:rsidRDefault="00951CDE">
      <w:pPr>
        <w:pStyle w:val="Corpsdetexte"/>
        <w:rPr>
          <w:rFonts w:ascii="Times New Roman"/>
          <w:sz w:val="20"/>
        </w:rPr>
      </w:pPr>
    </w:p>
    <w:p w:rsidR="00951CDE" w:rsidRDefault="00951CDE">
      <w:pPr>
        <w:pStyle w:val="Corpsdetexte"/>
        <w:spacing w:before="8"/>
        <w:rPr>
          <w:rFonts w:ascii="Times New Roman"/>
          <w:sz w:val="17"/>
        </w:rPr>
      </w:pPr>
    </w:p>
    <w:p w:rsidR="00951CDE" w:rsidRDefault="00951CDE">
      <w:pPr>
        <w:rPr>
          <w:rFonts w:ascii="Times New Roman"/>
          <w:sz w:val="17"/>
        </w:rPr>
        <w:sectPr w:rsidR="00951CDE">
          <w:type w:val="continuous"/>
          <w:pgSz w:w="11900" w:h="16840"/>
          <w:pgMar w:top="860" w:right="460" w:bottom="280" w:left="380" w:header="720" w:footer="720" w:gutter="0"/>
          <w:cols w:space="720"/>
        </w:sectPr>
      </w:pPr>
    </w:p>
    <w:p w:rsidR="00951CDE" w:rsidRPr="00971CD9" w:rsidRDefault="00D236AB">
      <w:pPr>
        <w:pStyle w:val="Corpsdetexte"/>
        <w:spacing w:before="104"/>
        <w:ind w:left="671"/>
        <w:jc w:val="both"/>
        <w:rPr>
          <w:lang w:val="fr-FR"/>
        </w:rPr>
      </w:pPr>
      <w:r w:rsidRPr="00971CD9">
        <w:rPr>
          <w:color w:val="808080"/>
          <w:w w:val="95"/>
          <w:lang w:val="fr-FR"/>
        </w:rPr>
        <w:t xml:space="preserve">DU </w:t>
      </w:r>
      <w:r w:rsidR="00971CD9">
        <w:rPr>
          <w:color w:val="808080"/>
          <w:w w:val="95"/>
          <w:lang w:val="fr-FR"/>
        </w:rPr>
        <w:t>28</w:t>
      </w:r>
      <w:r w:rsidRPr="00971CD9">
        <w:rPr>
          <w:color w:val="808080"/>
          <w:w w:val="95"/>
          <w:lang w:val="fr-FR"/>
        </w:rPr>
        <w:t xml:space="preserve"> AU </w:t>
      </w:r>
      <w:r w:rsidR="00971CD9">
        <w:rPr>
          <w:color w:val="808080"/>
          <w:w w:val="95"/>
          <w:lang w:val="fr-FR"/>
        </w:rPr>
        <w:t>30</w:t>
      </w:r>
      <w:r w:rsidRPr="00971CD9">
        <w:rPr>
          <w:color w:val="808080"/>
          <w:w w:val="95"/>
          <w:lang w:val="fr-FR"/>
        </w:rPr>
        <w:t xml:space="preserve"> </w:t>
      </w:r>
      <w:r w:rsidR="00971CD9">
        <w:rPr>
          <w:color w:val="808080"/>
          <w:w w:val="95"/>
          <w:lang w:val="fr-FR"/>
        </w:rPr>
        <w:t>OCTO</w:t>
      </w:r>
      <w:r w:rsidRPr="00971CD9">
        <w:rPr>
          <w:color w:val="808080"/>
          <w:w w:val="95"/>
          <w:lang w:val="fr-FR"/>
        </w:rPr>
        <w:t>BRE 20</w:t>
      </w:r>
      <w:r w:rsidR="00971CD9">
        <w:rPr>
          <w:color w:val="808080"/>
          <w:w w:val="95"/>
          <w:lang w:val="fr-FR"/>
        </w:rPr>
        <w:t>20</w:t>
      </w:r>
    </w:p>
    <w:p w:rsidR="00951CDE" w:rsidRPr="00971CD9" w:rsidRDefault="00971CD9">
      <w:pPr>
        <w:spacing w:before="18" w:line="254" w:lineRule="auto"/>
        <w:ind w:left="671" w:right="38"/>
        <w:jc w:val="both"/>
        <w:rPr>
          <w:b/>
          <w:sz w:val="96"/>
          <w:lang w:val="fr-FR"/>
        </w:rPr>
      </w:pPr>
      <w:r w:rsidRPr="00971CD9">
        <w:rPr>
          <w:b/>
          <w:color w:val="308D35"/>
          <w:w w:val="90"/>
          <w:sz w:val="56"/>
          <w:szCs w:val="20"/>
          <w:lang w:val="fr-FR"/>
        </w:rPr>
        <w:t xml:space="preserve">Appel à communications </w:t>
      </w:r>
      <w:r w:rsidR="00D236AB" w:rsidRPr="00971CD9">
        <w:rPr>
          <w:b/>
          <w:color w:val="308D35"/>
          <w:w w:val="90"/>
          <w:sz w:val="72"/>
          <w:szCs w:val="21"/>
          <w:lang w:val="fr-FR"/>
        </w:rPr>
        <w:t>du</w:t>
      </w:r>
      <w:r w:rsidRPr="00971CD9">
        <w:rPr>
          <w:b/>
          <w:color w:val="308D35"/>
          <w:w w:val="90"/>
          <w:sz w:val="72"/>
          <w:szCs w:val="21"/>
          <w:lang w:val="fr-FR"/>
        </w:rPr>
        <w:t xml:space="preserve"> </w:t>
      </w:r>
      <w:r w:rsidR="00D236AB" w:rsidRPr="00971CD9">
        <w:rPr>
          <w:b/>
          <w:color w:val="308D35"/>
          <w:w w:val="85"/>
          <w:sz w:val="72"/>
          <w:szCs w:val="21"/>
          <w:lang w:val="fr-FR"/>
        </w:rPr>
        <w:t>3</w:t>
      </w:r>
      <w:r w:rsidRPr="00971CD9">
        <w:rPr>
          <w:b/>
          <w:color w:val="308D35"/>
          <w:w w:val="85"/>
          <w:sz w:val="72"/>
          <w:szCs w:val="21"/>
          <w:lang w:val="fr-FR"/>
        </w:rPr>
        <w:t>1</w:t>
      </w:r>
      <w:r w:rsidR="00D236AB" w:rsidRPr="00971CD9">
        <w:rPr>
          <w:b/>
          <w:color w:val="308D35"/>
          <w:w w:val="85"/>
          <w:sz w:val="72"/>
          <w:szCs w:val="21"/>
          <w:lang w:val="fr-FR"/>
        </w:rPr>
        <w:t xml:space="preserve">ème </w:t>
      </w:r>
      <w:r w:rsidR="00D236AB" w:rsidRPr="00971CD9">
        <w:rPr>
          <w:b/>
          <w:color w:val="308D35"/>
          <w:spacing w:val="-3"/>
          <w:w w:val="85"/>
          <w:sz w:val="72"/>
          <w:szCs w:val="21"/>
          <w:lang w:val="fr-FR"/>
        </w:rPr>
        <w:t xml:space="preserve">Congrès </w:t>
      </w:r>
      <w:r w:rsidR="00D236AB" w:rsidRPr="00971CD9">
        <w:rPr>
          <w:b/>
          <w:color w:val="308D35"/>
          <w:w w:val="95"/>
          <w:sz w:val="72"/>
          <w:szCs w:val="21"/>
          <w:lang w:val="fr-FR"/>
        </w:rPr>
        <w:t>de</w:t>
      </w:r>
      <w:r w:rsidR="00D236AB" w:rsidRPr="00971CD9">
        <w:rPr>
          <w:b/>
          <w:color w:val="308D35"/>
          <w:spacing w:val="-78"/>
          <w:w w:val="95"/>
          <w:sz w:val="72"/>
          <w:szCs w:val="21"/>
          <w:lang w:val="fr-FR"/>
        </w:rPr>
        <w:t xml:space="preserve"> </w:t>
      </w:r>
      <w:r w:rsidR="00D236AB" w:rsidRPr="00971CD9">
        <w:rPr>
          <w:b/>
          <w:color w:val="308D35"/>
          <w:w w:val="95"/>
          <w:sz w:val="72"/>
          <w:szCs w:val="21"/>
          <w:lang w:val="fr-FR"/>
        </w:rPr>
        <w:t>l’AGRH</w:t>
      </w:r>
    </w:p>
    <w:p w:rsidR="00951CDE" w:rsidRPr="00971CD9" w:rsidRDefault="00D236AB">
      <w:pPr>
        <w:spacing w:before="8"/>
        <w:ind w:left="671"/>
        <w:jc w:val="both"/>
        <w:rPr>
          <w:sz w:val="55"/>
          <w:lang w:val="fr-FR"/>
        </w:rPr>
      </w:pPr>
      <w:proofErr w:type="gramStart"/>
      <w:r w:rsidRPr="00971CD9">
        <w:rPr>
          <w:color w:val="808080"/>
          <w:sz w:val="55"/>
          <w:lang w:val="fr-FR"/>
        </w:rPr>
        <w:t>à</w:t>
      </w:r>
      <w:proofErr w:type="gramEnd"/>
      <w:r w:rsidRPr="00971CD9">
        <w:rPr>
          <w:color w:val="808080"/>
          <w:sz w:val="55"/>
          <w:lang w:val="fr-FR"/>
        </w:rPr>
        <w:t xml:space="preserve"> </w:t>
      </w:r>
      <w:r w:rsidR="00971CD9">
        <w:rPr>
          <w:color w:val="808080"/>
          <w:sz w:val="55"/>
          <w:lang w:val="fr-FR"/>
        </w:rPr>
        <w:t>Tours</w:t>
      </w:r>
    </w:p>
    <w:p w:rsidR="00951CDE" w:rsidRPr="00971CD9" w:rsidRDefault="00D236AB">
      <w:pPr>
        <w:spacing w:before="569"/>
        <w:ind w:left="671"/>
        <w:jc w:val="both"/>
        <w:rPr>
          <w:b/>
          <w:sz w:val="36"/>
          <w:lang w:val="fr-FR"/>
        </w:rPr>
      </w:pPr>
      <w:r w:rsidRPr="00971CD9">
        <w:rPr>
          <w:b/>
          <w:color w:val="308D35"/>
          <w:w w:val="95"/>
          <w:sz w:val="36"/>
          <w:lang w:val="fr-FR"/>
        </w:rPr>
        <w:t>«</w:t>
      </w:r>
      <w:r w:rsidRPr="00971CD9">
        <w:rPr>
          <w:b/>
          <w:color w:val="308D35"/>
          <w:spacing w:val="-49"/>
          <w:w w:val="95"/>
          <w:sz w:val="36"/>
          <w:lang w:val="fr-FR"/>
        </w:rPr>
        <w:t xml:space="preserve"> </w:t>
      </w:r>
      <w:r w:rsidR="00971CD9">
        <w:rPr>
          <w:b/>
          <w:color w:val="308D35"/>
          <w:w w:val="95"/>
          <w:sz w:val="36"/>
          <w:lang w:val="fr-FR"/>
        </w:rPr>
        <w:t>Vers une approche inclusive de la GRH ?</w:t>
      </w:r>
      <w:r w:rsidRPr="00971CD9">
        <w:rPr>
          <w:b/>
          <w:color w:val="308D35"/>
          <w:spacing w:val="-48"/>
          <w:w w:val="95"/>
          <w:sz w:val="36"/>
          <w:lang w:val="fr-FR"/>
        </w:rPr>
        <w:t xml:space="preserve"> </w:t>
      </w:r>
      <w:r w:rsidRPr="00971CD9">
        <w:rPr>
          <w:b/>
          <w:color w:val="308D35"/>
          <w:w w:val="95"/>
          <w:sz w:val="36"/>
          <w:lang w:val="fr-FR"/>
        </w:rPr>
        <w:t>»</w:t>
      </w:r>
    </w:p>
    <w:p w:rsidR="00951CDE" w:rsidRPr="00971CD9" w:rsidRDefault="00951CDE">
      <w:pPr>
        <w:rPr>
          <w:b/>
          <w:sz w:val="44"/>
          <w:lang w:val="fr-FR"/>
        </w:rPr>
      </w:pPr>
    </w:p>
    <w:p w:rsidR="00951CDE" w:rsidRPr="00971CD9" w:rsidRDefault="00951CDE">
      <w:pPr>
        <w:spacing w:before="8"/>
        <w:rPr>
          <w:lang w:val="fr-FR"/>
        </w:rPr>
      </w:pPr>
    </w:p>
    <w:p w:rsidR="00951CDE" w:rsidRPr="00971CD9" w:rsidRDefault="00D236AB">
      <w:pPr>
        <w:rPr>
          <w:i/>
          <w:sz w:val="32"/>
          <w:lang w:val="fr-FR"/>
        </w:rPr>
      </w:pPr>
      <w:r w:rsidRPr="00971CD9">
        <w:rPr>
          <w:lang w:val="fr-FR"/>
        </w:rPr>
        <w:br w:type="column"/>
      </w:r>
    </w:p>
    <w:p w:rsidR="00951CDE" w:rsidRPr="00971CD9" w:rsidRDefault="00951CDE">
      <w:pPr>
        <w:rPr>
          <w:i/>
          <w:sz w:val="32"/>
          <w:lang w:val="fr-FR"/>
        </w:rPr>
      </w:pPr>
    </w:p>
    <w:p w:rsidR="00951CDE" w:rsidRPr="00971CD9" w:rsidRDefault="00951CDE">
      <w:pPr>
        <w:rPr>
          <w:i/>
          <w:sz w:val="32"/>
          <w:lang w:val="fr-FR"/>
        </w:rPr>
      </w:pPr>
    </w:p>
    <w:p w:rsidR="00951CDE" w:rsidRPr="00971CD9" w:rsidRDefault="00951CDE">
      <w:pPr>
        <w:rPr>
          <w:i/>
          <w:sz w:val="32"/>
          <w:lang w:val="fr-FR"/>
        </w:rPr>
      </w:pPr>
    </w:p>
    <w:p w:rsidR="00951CDE" w:rsidRPr="00971CD9" w:rsidRDefault="00951CDE">
      <w:pPr>
        <w:rPr>
          <w:i/>
          <w:sz w:val="32"/>
          <w:lang w:val="fr-FR"/>
        </w:rPr>
      </w:pPr>
    </w:p>
    <w:p w:rsidR="00951CDE" w:rsidRPr="00971CD9" w:rsidRDefault="00951CDE">
      <w:pPr>
        <w:rPr>
          <w:i/>
          <w:sz w:val="32"/>
          <w:lang w:val="fr-FR"/>
        </w:rPr>
      </w:pPr>
    </w:p>
    <w:p w:rsidR="00951CDE" w:rsidRPr="00971CD9" w:rsidRDefault="00951CDE">
      <w:pPr>
        <w:rPr>
          <w:i/>
          <w:sz w:val="32"/>
          <w:lang w:val="fr-FR"/>
        </w:rPr>
      </w:pPr>
    </w:p>
    <w:p w:rsidR="00951CDE" w:rsidRPr="00971CD9" w:rsidRDefault="00951CDE">
      <w:pPr>
        <w:rPr>
          <w:i/>
          <w:sz w:val="32"/>
          <w:lang w:val="fr-FR"/>
        </w:rPr>
      </w:pPr>
    </w:p>
    <w:p w:rsidR="00951CDE" w:rsidRPr="00971CD9" w:rsidRDefault="00951CDE">
      <w:pPr>
        <w:rPr>
          <w:i/>
          <w:sz w:val="32"/>
          <w:lang w:val="fr-FR"/>
        </w:rPr>
      </w:pPr>
    </w:p>
    <w:p w:rsidR="00951CDE" w:rsidRPr="00971CD9" w:rsidRDefault="00951CDE">
      <w:pPr>
        <w:spacing w:before="5"/>
        <w:rPr>
          <w:i/>
          <w:sz w:val="32"/>
          <w:lang w:val="fr-FR"/>
        </w:rPr>
      </w:pPr>
    </w:p>
    <w:p w:rsidR="00951CDE" w:rsidRDefault="00951CDE">
      <w:pPr>
        <w:rPr>
          <w:i/>
          <w:sz w:val="20"/>
        </w:rPr>
      </w:pPr>
    </w:p>
    <w:p w:rsidR="00951CDE" w:rsidRDefault="00951CDE">
      <w:pPr>
        <w:spacing w:before="2"/>
        <w:rPr>
          <w:i/>
          <w:sz w:val="12"/>
        </w:rPr>
      </w:pPr>
    </w:p>
    <w:p w:rsidR="00951CDE" w:rsidRDefault="00951CDE">
      <w:pPr>
        <w:rPr>
          <w:sz w:val="13"/>
        </w:rPr>
        <w:sectPr w:rsidR="00951CDE">
          <w:type w:val="continuous"/>
          <w:pgSz w:w="11900" w:h="16840"/>
          <w:pgMar w:top="860" w:right="460" w:bottom="280" w:left="380" w:header="720" w:footer="720" w:gutter="0"/>
          <w:cols w:num="2" w:space="720" w:equalWidth="0">
            <w:col w:w="6851" w:space="786"/>
            <w:col w:w="3423"/>
          </w:cols>
        </w:sectPr>
      </w:pPr>
    </w:p>
    <w:p w:rsidR="00951CDE" w:rsidRDefault="00951CDE">
      <w:pPr>
        <w:rPr>
          <w:i/>
          <w:sz w:val="20"/>
        </w:rPr>
      </w:pPr>
    </w:p>
    <w:p w:rsidR="00951CDE" w:rsidRDefault="00951CDE">
      <w:pPr>
        <w:rPr>
          <w:i/>
          <w:sz w:val="20"/>
        </w:rPr>
      </w:pPr>
    </w:p>
    <w:p w:rsidR="00951CDE" w:rsidRDefault="00951CDE">
      <w:pPr>
        <w:rPr>
          <w:i/>
          <w:sz w:val="20"/>
        </w:rPr>
      </w:pPr>
    </w:p>
    <w:p w:rsidR="00951CDE" w:rsidRDefault="00971CD9" w:rsidP="00971CD9">
      <w:pPr>
        <w:tabs>
          <w:tab w:val="left" w:pos="5389"/>
        </w:tabs>
        <w:ind w:left="818"/>
        <w:jc w:val="center"/>
        <w:rPr>
          <w:sz w:val="20"/>
        </w:rPr>
        <w:sectPr w:rsidR="00951CDE">
          <w:type w:val="continuous"/>
          <w:pgSz w:w="11900" w:h="16840"/>
          <w:pgMar w:top="860" w:right="460" w:bottom="280" w:left="380" w:header="720" w:footer="720" w:gutter="0"/>
          <w:cols w:space="720"/>
        </w:sectPr>
      </w:pPr>
      <w:r>
        <w:rPr>
          <w:noProof/>
          <w:sz w:val="20"/>
          <w:lang w:val="fr-FR" w:eastAsia="fr-FR"/>
        </w:rPr>
        <w:drawing>
          <wp:inline distT="0" distB="0" distL="0" distR="0">
            <wp:extent cx="1198941" cy="382339"/>
            <wp:effectExtent l="0" t="0" r="0" b="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Logo-IAE-Tou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5970" cy="416470"/>
                    </a:xfrm>
                    <a:prstGeom prst="rect">
                      <a:avLst/>
                    </a:prstGeom>
                  </pic:spPr>
                </pic:pic>
              </a:graphicData>
            </a:graphic>
          </wp:inline>
        </w:drawing>
      </w:r>
      <w:r>
        <w:rPr>
          <w:noProof/>
          <w:sz w:val="20"/>
          <w:lang w:val="fr-FR" w:eastAsia="fr-FR"/>
        </w:rPr>
        <w:drawing>
          <wp:inline distT="0" distB="0" distL="0" distR="0">
            <wp:extent cx="967494" cy="411081"/>
            <wp:effectExtent l="0" t="0" r="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GRH-Logo2.png"/>
                    <pic:cNvPicPr/>
                  </pic:nvPicPr>
                  <pic:blipFill>
                    <a:blip r:embed="rId9">
                      <a:extLst>
                        <a:ext uri="{28A0092B-C50C-407E-A947-70E740481C1C}">
                          <a14:useLocalDpi xmlns:a14="http://schemas.microsoft.com/office/drawing/2010/main" val="0"/>
                        </a:ext>
                      </a:extLst>
                    </a:blip>
                    <a:stretch>
                      <a:fillRect/>
                    </a:stretch>
                  </pic:blipFill>
                  <pic:spPr>
                    <a:xfrm>
                      <a:off x="0" y="0"/>
                      <a:ext cx="1093740" cy="464722"/>
                    </a:xfrm>
                    <a:prstGeom prst="rect">
                      <a:avLst/>
                    </a:prstGeom>
                  </pic:spPr>
                </pic:pic>
              </a:graphicData>
            </a:graphic>
          </wp:inline>
        </w:drawing>
      </w:r>
      <w:r>
        <w:rPr>
          <w:noProof/>
          <w:sz w:val="20"/>
          <w:lang w:val="fr-FR" w:eastAsia="fr-FR"/>
        </w:rPr>
        <w:drawing>
          <wp:inline distT="0" distB="0" distL="0" distR="0">
            <wp:extent cx="1344787" cy="483807"/>
            <wp:effectExtent l="0" t="0" r="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UnivTours-Logo horizontal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6348" cy="513150"/>
                    </a:xfrm>
                    <a:prstGeom prst="rect">
                      <a:avLst/>
                    </a:prstGeom>
                  </pic:spPr>
                </pic:pic>
              </a:graphicData>
            </a:graphic>
          </wp:inline>
        </w:drawing>
      </w:r>
      <w:r w:rsidR="00A63717">
        <w:rPr>
          <w:noProof/>
          <w:lang w:val="fr-FR" w:eastAsia="fr-FR"/>
        </w:rPr>
        <w:drawing>
          <wp:inline distT="0" distB="0" distL="0" distR="0" wp14:anchorId="2B34A3BE" wp14:editId="1CEE0FB3">
            <wp:extent cx="956538" cy="555625"/>
            <wp:effectExtent l="0" t="0" r="0" b="0"/>
            <wp:docPr id="3" name="Image 3" descr="Résultat de recherche d'images pour &quot;vallorem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vallorem logo&quo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46" t="15094" b="15974"/>
                    <a:stretch/>
                  </pic:blipFill>
                  <pic:spPr bwMode="auto">
                    <a:xfrm>
                      <a:off x="0" y="0"/>
                      <a:ext cx="971819" cy="564501"/>
                    </a:xfrm>
                    <a:prstGeom prst="rect">
                      <a:avLst/>
                    </a:prstGeom>
                    <a:noFill/>
                    <a:ln>
                      <a:noFill/>
                    </a:ln>
                    <a:extLst>
                      <a:ext uri="{53640926-AAD7-44D8-BBD7-CCE9431645EC}">
                        <a14:shadowObscured xmlns:a14="http://schemas.microsoft.com/office/drawing/2010/main"/>
                      </a:ext>
                    </a:extLst>
                  </pic:spPr>
                </pic:pic>
              </a:graphicData>
            </a:graphic>
          </wp:inline>
        </w:drawing>
      </w:r>
    </w:p>
    <w:p w:rsidR="006B1544" w:rsidRDefault="006B1544">
      <w:pPr>
        <w:rPr>
          <w:rFonts w:eastAsia="Times New Roman"/>
          <w:color w:val="000000" w:themeColor="text1"/>
          <w:lang w:val="fr-FR" w:eastAsia="fr-FR"/>
        </w:rPr>
      </w:pPr>
      <w:r>
        <w:rPr>
          <w:rFonts w:eastAsia="Times New Roman"/>
          <w:color w:val="000000" w:themeColor="text1"/>
          <w:lang w:val="fr-FR" w:eastAsia="fr-FR"/>
        </w:rPr>
        <w:br w:type="page"/>
      </w:r>
    </w:p>
    <w:p w:rsidR="00971CD9" w:rsidRPr="00971CD9" w:rsidRDefault="00971CD9" w:rsidP="00971CD9">
      <w:pPr>
        <w:spacing w:before="120" w:after="120"/>
        <w:jc w:val="both"/>
        <w:rPr>
          <w:rFonts w:eastAsia="Times New Roman"/>
          <w:lang w:val="fr-FR" w:eastAsia="fr-FR"/>
        </w:rPr>
      </w:pPr>
      <w:r w:rsidRPr="00971CD9">
        <w:rPr>
          <w:rFonts w:eastAsia="Times New Roman"/>
          <w:color w:val="000000" w:themeColor="text1"/>
          <w:lang w:val="fr-FR" w:eastAsia="fr-FR"/>
        </w:rPr>
        <w:lastRenderedPageBreak/>
        <w:t xml:space="preserve">Promotion de la « Diversité et de l’Inclusion » en entreprise, réflexions sur la « culture inclusive », approche par le « management inclusif », </w:t>
      </w:r>
      <w:r w:rsidRPr="00971CD9">
        <w:rPr>
          <w:rFonts w:eastAsia="Times New Roman"/>
          <w:lang w:val="fr-FR" w:eastAsia="fr-FR"/>
        </w:rPr>
        <w:t>la mobilisation du concept d’inclusion</w:t>
      </w:r>
      <w:r w:rsidRPr="00971CD9">
        <w:rPr>
          <w:rFonts w:eastAsia="Times New Roman"/>
          <w:color w:val="000000" w:themeColor="text1"/>
          <w:lang w:val="fr-FR" w:eastAsia="fr-FR"/>
        </w:rPr>
        <w:t xml:space="preserve">, concept initialement étudié sous l’angle de l’inclusion sociale et de l’inclusion scolaire, s’est </w:t>
      </w:r>
      <w:r w:rsidRPr="00971CD9">
        <w:rPr>
          <w:rFonts w:eastAsia="Times New Roman"/>
          <w:lang w:val="fr-FR" w:eastAsia="fr-FR"/>
        </w:rPr>
        <w:t>largement développée ces dernières années au niveau des organisations (</w:t>
      </w:r>
      <w:proofErr w:type="spellStart"/>
      <w:r w:rsidRPr="00971CD9">
        <w:rPr>
          <w:rFonts w:eastAsia="Times New Roman"/>
          <w:lang w:val="fr-FR" w:eastAsia="fr-FR"/>
        </w:rPr>
        <w:t>Roberson</w:t>
      </w:r>
      <w:proofErr w:type="spellEnd"/>
      <w:r w:rsidRPr="00971CD9">
        <w:rPr>
          <w:rFonts w:eastAsia="Times New Roman"/>
          <w:lang w:val="fr-FR" w:eastAsia="fr-FR"/>
        </w:rPr>
        <w:t xml:space="preserve">, 2006 ; Shore et </w:t>
      </w:r>
      <w:r w:rsidRPr="00971CD9">
        <w:rPr>
          <w:rFonts w:eastAsia="Times New Roman"/>
          <w:i/>
          <w:iCs/>
          <w:lang w:val="fr-FR" w:eastAsia="fr-FR"/>
        </w:rPr>
        <w:t>al.</w:t>
      </w:r>
      <w:r w:rsidRPr="00971CD9">
        <w:rPr>
          <w:rFonts w:eastAsia="Times New Roman"/>
          <w:lang w:val="fr-FR" w:eastAsia="fr-FR"/>
        </w:rPr>
        <w:t xml:space="preserve">, 2011 ; </w:t>
      </w:r>
      <w:proofErr w:type="spellStart"/>
      <w:r w:rsidRPr="00971CD9">
        <w:rPr>
          <w:rFonts w:eastAsia="Times New Roman"/>
          <w:lang w:val="fr-FR" w:eastAsia="fr-FR"/>
        </w:rPr>
        <w:t>Nishii</w:t>
      </w:r>
      <w:proofErr w:type="spellEnd"/>
      <w:r w:rsidRPr="00971CD9">
        <w:rPr>
          <w:rFonts w:eastAsia="Times New Roman"/>
          <w:lang w:val="fr-FR" w:eastAsia="fr-FR"/>
        </w:rPr>
        <w:t xml:space="preserve">, 2013 ; Mitchell et </w:t>
      </w:r>
      <w:r w:rsidRPr="00971CD9">
        <w:rPr>
          <w:rFonts w:eastAsia="Times New Roman"/>
          <w:i/>
          <w:iCs/>
          <w:lang w:val="fr-FR" w:eastAsia="fr-FR"/>
        </w:rPr>
        <w:t>al</w:t>
      </w:r>
      <w:r w:rsidRPr="00971CD9">
        <w:rPr>
          <w:rFonts w:eastAsia="Times New Roman"/>
          <w:lang w:val="fr-FR" w:eastAsia="fr-FR"/>
        </w:rPr>
        <w:t xml:space="preserve">., 2015). Shore et al. (2011) définissent l’inclusion comme le degré́ à partir duquel un individu se perçoit comme un membre d’un groupe au sein duquel ses « besoins » d’appartenance et de singularité sont satisfaits. Comme le suggère </w:t>
      </w:r>
      <w:proofErr w:type="spellStart"/>
      <w:r w:rsidRPr="00971CD9">
        <w:rPr>
          <w:rFonts w:eastAsia="Times New Roman"/>
          <w:lang w:val="fr-FR" w:eastAsia="fr-FR"/>
        </w:rPr>
        <w:t>Nishii</w:t>
      </w:r>
      <w:proofErr w:type="spellEnd"/>
      <w:r w:rsidRPr="00971CD9">
        <w:rPr>
          <w:rFonts w:eastAsia="Times New Roman"/>
          <w:lang w:val="fr-FR" w:eastAsia="fr-FR"/>
        </w:rPr>
        <w:t xml:space="preserve"> (2013), les environnements inclusifs sont caractérisés par un engagement collectif destiné à intégrer des identités variées en vue de créer de nouvelles compétences. Cette responsabilité́ implique que chacun puisse s’épanouir professionnellement sans avoir </w:t>
      </w:r>
      <w:proofErr w:type="spellStart"/>
      <w:r w:rsidRPr="00971CD9">
        <w:rPr>
          <w:rFonts w:eastAsia="Times New Roman"/>
          <w:lang w:val="fr-FR" w:eastAsia="fr-FR"/>
        </w:rPr>
        <w:t>a</w:t>
      </w:r>
      <w:proofErr w:type="spellEnd"/>
      <w:r w:rsidRPr="00971CD9">
        <w:rPr>
          <w:rFonts w:eastAsia="Times New Roman"/>
          <w:lang w:val="fr-FR" w:eastAsia="fr-FR"/>
        </w:rPr>
        <w:t xml:space="preserve">̀ se conformer </w:t>
      </w:r>
      <w:proofErr w:type="spellStart"/>
      <w:r w:rsidRPr="00971CD9">
        <w:rPr>
          <w:rFonts w:eastAsia="Times New Roman"/>
          <w:lang w:val="fr-FR" w:eastAsia="fr-FR"/>
        </w:rPr>
        <w:t>a</w:t>
      </w:r>
      <w:proofErr w:type="spellEnd"/>
      <w:r w:rsidRPr="00971CD9">
        <w:rPr>
          <w:rFonts w:eastAsia="Times New Roman"/>
          <w:lang w:val="fr-FR" w:eastAsia="fr-FR"/>
        </w:rPr>
        <w:t xml:space="preserve">̀ une norme et en étant reconnu pour ce qu’il est. Traiter les questions liées </w:t>
      </w:r>
      <w:proofErr w:type="spellStart"/>
      <w:r w:rsidRPr="00971CD9">
        <w:rPr>
          <w:rFonts w:eastAsia="Times New Roman"/>
          <w:lang w:val="fr-FR" w:eastAsia="fr-FR"/>
        </w:rPr>
        <w:t>a</w:t>
      </w:r>
      <w:proofErr w:type="spellEnd"/>
      <w:r w:rsidRPr="00971CD9">
        <w:rPr>
          <w:rFonts w:eastAsia="Times New Roman"/>
          <w:lang w:val="fr-FR" w:eastAsia="fr-FR"/>
        </w:rPr>
        <w:t xml:space="preserve">̀ l’inclusion amène également au sujet de la régulation du sentiment de justice sociale chez les individus. Il est vrai que le thème de la reconnaissance s’avère être d’actualité car les principales préoccupations économiques et sociales s’orientent autour de cet aspect de la gestion des ressources humaines : montée de l’individualisme, fragilisation des solidarités, perte de sens dans le contenu du travail, perte de repères par rapport aux pratiques managériales, recherche de lien social, rôle majeur des technologies de l’information et de la communication dans la vie privée comme dans la vie professionnelle. </w:t>
      </w:r>
    </w:p>
    <w:p w:rsidR="00971CD9" w:rsidRPr="00971CD9" w:rsidRDefault="00971CD9" w:rsidP="00971CD9">
      <w:pPr>
        <w:spacing w:before="120" w:after="120"/>
        <w:jc w:val="both"/>
        <w:rPr>
          <w:rFonts w:eastAsia="Times New Roman"/>
          <w:sz w:val="28"/>
          <w:szCs w:val="28"/>
          <w:lang w:val="fr-FR" w:eastAsia="fr-FR"/>
        </w:rPr>
      </w:pPr>
      <w:r w:rsidRPr="00971CD9">
        <w:rPr>
          <w:rFonts w:eastAsia="Times New Roman"/>
          <w:lang w:val="fr-FR" w:eastAsia="fr-FR"/>
        </w:rPr>
        <w:t xml:space="preserve">Considérer la question de l’inclusion dans le monde professionnel ne peut se limiter </w:t>
      </w:r>
      <w:proofErr w:type="spellStart"/>
      <w:r w:rsidRPr="00971CD9">
        <w:rPr>
          <w:rFonts w:eastAsia="Times New Roman"/>
          <w:lang w:val="fr-FR" w:eastAsia="fr-FR"/>
        </w:rPr>
        <w:t>a</w:t>
      </w:r>
      <w:proofErr w:type="spellEnd"/>
      <w:r w:rsidRPr="00971CD9">
        <w:rPr>
          <w:rFonts w:eastAsia="Times New Roman"/>
          <w:lang w:val="fr-FR" w:eastAsia="fr-FR"/>
        </w:rPr>
        <w:t>̀ l’organisation et doit envisager l’évolution du travail et l’accè</w:t>
      </w:r>
      <w:proofErr w:type="spellStart"/>
      <w:r w:rsidRPr="00971CD9">
        <w:rPr>
          <w:rFonts w:eastAsia="Times New Roman"/>
          <w:lang w:val="fr-FR" w:eastAsia="fr-FR"/>
        </w:rPr>
        <w:t>s a</w:t>
      </w:r>
      <w:proofErr w:type="spellEnd"/>
      <w:r w:rsidRPr="00971CD9">
        <w:rPr>
          <w:rFonts w:eastAsia="Times New Roman"/>
          <w:lang w:val="fr-FR" w:eastAsia="fr-FR"/>
        </w:rPr>
        <w:t xml:space="preserve">̀ celui-ci pour penser un environnement inclusif. En effet, dans un contexte d’inégalités persistantes, les mondes de l’emploi et de la formation ont connu de profondes mutations ces dernières années. Par exemple, avec l’évolution numérique et la digitalisation, la fin de la dernière décennie a accru la possibilité́ de mettre en lien l’offre et la demande de services par des plateformes dans une nouvelle économie collaborative. Dès lors, la promesse d’inclusion par le travail que supposent ces nouveaux modèles suscite un vif intérêt et interroge sur leur capacité́ à réellement donner accès à l’emploi à tous. </w:t>
      </w:r>
    </w:p>
    <w:p w:rsidR="00971CD9" w:rsidRPr="00971CD9" w:rsidRDefault="00971CD9" w:rsidP="00971CD9">
      <w:pPr>
        <w:spacing w:before="120" w:after="120"/>
        <w:jc w:val="both"/>
        <w:rPr>
          <w:rFonts w:eastAsia="Times New Roman"/>
          <w:color w:val="00B050"/>
          <w:sz w:val="28"/>
          <w:szCs w:val="28"/>
          <w:lang w:val="fr-FR" w:eastAsia="fr-FR"/>
        </w:rPr>
      </w:pPr>
      <w:r w:rsidRPr="00971CD9">
        <w:rPr>
          <w:rFonts w:eastAsia="Times New Roman"/>
          <w:lang w:val="fr-FR" w:eastAsia="fr-FR"/>
        </w:rPr>
        <w:t xml:space="preserve">Le tour d’horizon à propos de l’inclusion dans la gestion des ressources humaines amène à envisager la question du territoire et des réseaux. En effet, les territoires s’organisent pour créer davantage d’inclusion économique et sociale par le biais de projets visant le développement local durable et inclusif. La société́ intégrative a cédé la place à la société́ inclusive (Bouquet, 2015), laquelle cherche à identifier les conditions et pratiques visant </w:t>
      </w:r>
      <w:proofErr w:type="spellStart"/>
      <w:r w:rsidRPr="00971CD9">
        <w:rPr>
          <w:rFonts w:eastAsia="Times New Roman"/>
          <w:lang w:val="fr-FR" w:eastAsia="fr-FR"/>
        </w:rPr>
        <w:t>a</w:t>
      </w:r>
      <w:proofErr w:type="spellEnd"/>
      <w:r w:rsidRPr="00971CD9">
        <w:rPr>
          <w:rFonts w:eastAsia="Times New Roman"/>
          <w:lang w:val="fr-FR" w:eastAsia="fr-FR"/>
        </w:rPr>
        <w:t xml:space="preserve">̀ inclure ses populations et à leur permettre de participer à la vie en société́ aux niveaux économique, social et culturel (Gardien, 2015). À ce sujet, la collaboration entre les acteurs d’un </w:t>
      </w:r>
      <w:r w:rsidRPr="00971CD9">
        <w:rPr>
          <w:rFonts w:eastAsia="Times New Roman"/>
          <w:color w:val="000000" w:themeColor="text1"/>
          <w:lang w:val="fr-FR" w:eastAsia="fr-FR"/>
        </w:rPr>
        <w:t xml:space="preserve">territoire (institutionnels, associations, petites et grandes entreprises, etc.) </w:t>
      </w:r>
      <w:r w:rsidRPr="00971CD9">
        <w:rPr>
          <w:rFonts w:eastAsia="Times New Roman"/>
          <w:lang w:val="fr-FR" w:eastAsia="fr-FR"/>
        </w:rPr>
        <w:t xml:space="preserve">est importante et soulève la dimension réticulaire d’une volonté́ territoriale de favoriser l’inclusion. L’identification et la mise en relation des acteurs et des ressources pouvant contribuer à la réussite d’une telle démarche autour d’une problématique commune constitue ainsi un enjeu primordial </w:t>
      </w:r>
      <w:r w:rsidRPr="00971CD9">
        <w:rPr>
          <w:rFonts w:eastAsia="Times New Roman"/>
          <w:color w:val="000000" w:themeColor="text1"/>
          <w:lang w:val="fr-FR" w:eastAsia="fr-FR"/>
        </w:rPr>
        <w:t>et nul doute que les services RH des différentes organisations et autres acteurs de l’emploi et de la formation ont un rôle à jouer dans cet enjeu sociétal.</w:t>
      </w:r>
    </w:p>
    <w:p w:rsidR="00971CD9" w:rsidRPr="00971CD9" w:rsidRDefault="00971CD9" w:rsidP="00971CD9">
      <w:pPr>
        <w:spacing w:before="120" w:after="120"/>
        <w:jc w:val="both"/>
        <w:rPr>
          <w:rFonts w:eastAsia="Times New Roman"/>
          <w:lang w:val="fr-FR" w:eastAsia="fr-FR"/>
        </w:rPr>
      </w:pPr>
      <w:r w:rsidRPr="00971CD9">
        <w:rPr>
          <w:rFonts w:eastAsia="Times New Roman"/>
          <w:lang w:val="fr-FR" w:eastAsia="fr-FR"/>
        </w:rPr>
        <w:t xml:space="preserve">Dans ce contexte, de nombreuses questions se posent quant aux rôles de la gestion des ressources humaines : </w:t>
      </w:r>
    </w:p>
    <w:p w:rsidR="00971CD9" w:rsidRPr="00971CD9" w:rsidRDefault="00971CD9" w:rsidP="00971CD9">
      <w:pPr>
        <w:pStyle w:val="Paragraphedeliste"/>
        <w:widowControl/>
        <w:numPr>
          <w:ilvl w:val="0"/>
          <w:numId w:val="1"/>
        </w:numPr>
        <w:autoSpaceDE/>
        <w:autoSpaceDN/>
        <w:contextualSpacing/>
        <w:jc w:val="both"/>
        <w:rPr>
          <w:color w:val="000000" w:themeColor="text1"/>
          <w:lang w:val="fr-FR"/>
        </w:rPr>
      </w:pPr>
      <w:r w:rsidRPr="00971CD9">
        <w:rPr>
          <w:color w:val="000000" w:themeColor="text1"/>
          <w:lang w:val="fr-FR"/>
        </w:rPr>
        <w:t>En quoi l’inclusion d’individus aux parcours atypiques fait évoluer les organisations ?</w:t>
      </w:r>
    </w:p>
    <w:p w:rsidR="00971CD9" w:rsidRPr="00971CD9" w:rsidRDefault="00971CD9" w:rsidP="00971CD9">
      <w:pPr>
        <w:pStyle w:val="Paragraphedeliste"/>
        <w:widowControl/>
        <w:numPr>
          <w:ilvl w:val="0"/>
          <w:numId w:val="1"/>
        </w:numPr>
        <w:autoSpaceDE/>
        <w:autoSpaceDN/>
        <w:contextualSpacing/>
        <w:jc w:val="both"/>
        <w:rPr>
          <w:color w:val="000000" w:themeColor="text1"/>
          <w:lang w:val="fr-FR"/>
        </w:rPr>
      </w:pPr>
      <w:r w:rsidRPr="00971CD9">
        <w:rPr>
          <w:color w:val="000000" w:themeColor="text1"/>
          <w:lang w:val="fr-FR"/>
        </w:rPr>
        <w:t>Dans quelle mesure la GRH permet-elle de révéler et promouvoir les singularités ?</w:t>
      </w:r>
    </w:p>
    <w:p w:rsidR="00971CD9" w:rsidRPr="00971CD9" w:rsidRDefault="00971CD9" w:rsidP="00971CD9">
      <w:pPr>
        <w:pStyle w:val="Paragraphedeliste"/>
        <w:widowControl/>
        <w:numPr>
          <w:ilvl w:val="0"/>
          <w:numId w:val="1"/>
        </w:numPr>
        <w:autoSpaceDE/>
        <w:autoSpaceDN/>
        <w:contextualSpacing/>
        <w:jc w:val="both"/>
        <w:rPr>
          <w:color w:val="000000" w:themeColor="text1"/>
          <w:lang w:val="fr-FR"/>
        </w:rPr>
      </w:pPr>
      <w:r w:rsidRPr="00971CD9">
        <w:rPr>
          <w:color w:val="000000" w:themeColor="text1"/>
          <w:lang w:val="fr-FR"/>
        </w:rPr>
        <w:t xml:space="preserve">Quelles pratiques RH </w:t>
      </w:r>
      <w:proofErr w:type="gramStart"/>
      <w:r w:rsidRPr="00971CD9">
        <w:rPr>
          <w:color w:val="000000" w:themeColor="text1"/>
          <w:lang w:val="fr-FR"/>
        </w:rPr>
        <w:t>peuvent</w:t>
      </w:r>
      <w:proofErr w:type="gramEnd"/>
      <w:r w:rsidRPr="00971CD9">
        <w:rPr>
          <w:color w:val="000000" w:themeColor="text1"/>
          <w:lang w:val="fr-FR"/>
        </w:rPr>
        <w:t xml:space="preserve"> favoriser l’inclusion ?</w:t>
      </w:r>
    </w:p>
    <w:p w:rsidR="00971CD9" w:rsidRPr="00971CD9" w:rsidRDefault="00971CD9" w:rsidP="00971CD9">
      <w:pPr>
        <w:pStyle w:val="Paragraphedeliste"/>
        <w:widowControl/>
        <w:numPr>
          <w:ilvl w:val="0"/>
          <w:numId w:val="1"/>
        </w:numPr>
        <w:autoSpaceDE/>
        <w:autoSpaceDN/>
        <w:contextualSpacing/>
        <w:jc w:val="both"/>
        <w:rPr>
          <w:color w:val="000000" w:themeColor="text1"/>
          <w:lang w:val="fr-FR"/>
        </w:rPr>
      </w:pPr>
      <w:r w:rsidRPr="00971CD9">
        <w:rPr>
          <w:color w:val="000000" w:themeColor="text1"/>
          <w:lang w:val="fr-FR"/>
        </w:rPr>
        <w:t>Comment accompagner les managers dans des modes de management plus inclusifs ?</w:t>
      </w:r>
    </w:p>
    <w:p w:rsidR="00971CD9" w:rsidRPr="00971CD9" w:rsidRDefault="00971CD9" w:rsidP="00971CD9">
      <w:pPr>
        <w:pStyle w:val="Paragraphedeliste"/>
        <w:widowControl/>
        <w:numPr>
          <w:ilvl w:val="0"/>
          <w:numId w:val="1"/>
        </w:numPr>
        <w:autoSpaceDE/>
        <w:autoSpaceDN/>
        <w:contextualSpacing/>
        <w:jc w:val="both"/>
        <w:rPr>
          <w:color w:val="000000" w:themeColor="text1"/>
        </w:rPr>
      </w:pPr>
      <w:r w:rsidRPr="00971CD9">
        <w:rPr>
          <w:color w:val="000000" w:themeColor="text1"/>
          <w:lang w:val="fr-FR"/>
        </w:rPr>
        <w:t xml:space="preserve">Face à la promotion de la singularité, quid de l’identité organisationnelle ? </w:t>
      </w:r>
      <w:r w:rsidRPr="00971CD9">
        <w:rPr>
          <w:color w:val="000000" w:themeColor="text1"/>
        </w:rPr>
        <w:t xml:space="preserve">De </w:t>
      </w:r>
      <w:proofErr w:type="spellStart"/>
      <w:r w:rsidRPr="00971CD9">
        <w:rPr>
          <w:color w:val="000000" w:themeColor="text1"/>
        </w:rPr>
        <w:t>l’identité</w:t>
      </w:r>
      <w:proofErr w:type="spellEnd"/>
      <w:r w:rsidRPr="00971CD9">
        <w:rPr>
          <w:color w:val="000000" w:themeColor="text1"/>
        </w:rPr>
        <w:t xml:space="preserve"> </w:t>
      </w:r>
      <w:proofErr w:type="spellStart"/>
      <w:proofErr w:type="gramStart"/>
      <w:r w:rsidRPr="00971CD9">
        <w:rPr>
          <w:color w:val="000000" w:themeColor="text1"/>
        </w:rPr>
        <w:t>professionnelle</w:t>
      </w:r>
      <w:proofErr w:type="spellEnd"/>
      <w:r w:rsidRPr="00971CD9">
        <w:rPr>
          <w:color w:val="000000" w:themeColor="text1"/>
        </w:rPr>
        <w:t> ?</w:t>
      </w:r>
      <w:proofErr w:type="gramEnd"/>
    </w:p>
    <w:p w:rsidR="00971CD9" w:rsidRPr="00971CD9" w:rsidRDefault="00971CD9" w:rsidP="00971CD9">
      <w:pPr>
        <w:pStyle w:val="Paragraphedeliste"/>
        <w:widowControl/>
        <w:numPr>
          <w:ilvl w:val="0"/>
          <w:numId w:val="1"/>
        </w:numPr>
        <w:autoSpaceDE/>
        <w:autoSpaceDN/>
        <w:contextualSpacing/>
        <w:rPr>
          <w:color w:val="000000" w:themeColor="text1"/>
          <w:lang w:val="fr-FR"/>
        </w:rPr>
      </w:pPr>
      <w:r w:rsidRPr="00971CD9">
        <w:rPr>
          <w:color w:val="000000" w:themeColor="text1"/>
          <w:lang w:val="fr-FR"/>
        </w:rPr>
        <w:t>Dans quelle mesure peut-on parler de culture organisationnelle inclusive ?</w:t>
      </w:r>
    </w:p>
    <w:p w:rsidR="00971CD9" w:rsidRPr="00971CD9" w:rsidRDefault="00971CD9" w:rsidP="00971CD9">
      <w:pPr>
        <w:pStyle w:val="Paragraphedeliste"/>
        <w:widowControl/>
        <w:numPr>
          <w:ilvl w:val="0"/>
          <w:numId w:val="1"/>
        </w:numPr>
        <w:autoSpaceDE/>
        <w:autoSpaceDN/>
        <w:contextualSpacing/>
        <w:jc w:val="both"/>
        <w:rPr>
          <w:color w:val="000000" w:themeColor="text1"/>
          <w:lang w:val="fr-FR"/>
        </w:rPr>
      </w:pPr>
      <w:r w:rsidRPr="00971CD9">
        <w:rPr>
          <w:color w:val="000000" w:themeColor="text1"/>
          <w:lang w:val="fr-FR"/>
        </w:rPr>
        <w:t xml:space="preserve">En quoi une politique RH volontaire d’inclusion modifie les pratiques de recrutement, de développement des organisations ? </w:t>
      </w:r>
    </w:p>
    <w:p w:rsidR="00971CD9" w:rsidRPr="00971CD9" w:rsidRDefault="00971CD9" w:rsidP="00971CD9">
      <w:pPr>
        <w:pStyle w:val="Paragraphedeliste"/>
        <w:widowControl/>
        <w:numPr>
          <w:ilvl w:val="0"/>
          <w:numId w:val="1"/>
        </w:numPr>
        <w:autoSpaceDE/>
        <w:autoSpaceDN/>
        <w:contextualSpacing/>
        <w:jc w:val="both"/>
        <w:rPr>
          <w:color w:val="000000" w:themeColor="text1"/>
          <w:lang w:val="fr-FR"/>
        </w:rPr>
      </w:pPr>
      <w:r w:rsidRPr="00971CD9">
        <w:rPr>
          <w:color w:val="000000" w:themeColor="text1"/>
          <w:lang w:val="fr-FR"/>
        </w:rPr>
        <w:t>Les politiques d’inclusion sont-elles une nouvelle voie pour la qualité de vie au travail ?</w:t>
      </w:r>
    </w:p>
    <w:p w:rsidR="00971CD9" w:rsidRPr="00971CD9" w:rsidRDefault="00971CD9" w:rsidP="00971CD9">
      <w:pPr>
        <w:pStyle w:val="Paragraphedeliste"/>
        <w:widowControl/>
        <w:numPr>
          <w:ilvl w:val="0"/>
          <w:numId w:val="1"/>
        </w:numPr>
        <w:autoSpaceDE/>
        <w:autoSpaceDN/>
        <w:contextualSpacing/>
        <w:jc w:val="both"/>
        <w:rPr>
          <w:color w:val="000000" w:themeColor="text1"/>
          <w:lang w:val="fr-FR"/>
        </w:rPr>
      </w:pPr>
      <w:r w:rsidRPr="00971CD9">
        <w:rPr>
          <w:color w:val="000000" w:themeColor="text1"/>
          <w:lang w:val="fr-FR"/>
        </w:rPr>
        <w:lastRenderedPageBreak/>
        <w:t>Quelles limites organisationnelles ou territoriales aux politiques RH inclusives ?</w:t>
      </w:r>
    </w:p>
    <w:p w:rsidR="00971CD9" w:rsidRPr="00971CD9" w:rsidRDefault="00971CD9" w:rsidP="00971CD9">
      <w:pPr>
        <w:pStyle w:val="Paragraphedeliste"/>
        <w:widowControl/>
        <w:numPr>
          <w:ilvl w:val="0"/>
          <w:numId w:val="1"/>
        </w:numPr>
        <w:autoSpaceDE/>
        <w:autoSpaceDN/>
        <w:contextualSpacing/>
        <w:jc w:val="both"/>
        <w:rPr>
          <w:color w:val="000000" w:themeColor="text1"/>
          <w:lang w:val="fr-FR"/>
        </w:rPr>
      </w:pPr>
      <w:r w:rsidRPr="00971CD9">
        <w:rPr>
          <w:color w:val="000000" w:themeColor="text1"/>
          <w:lang w:val="fr-FR"/>
        </w:rPr>
        <w:t>En quoi les démarches inclusives faciliteraient-elles la gestion des nombreux défis organisationnels que soulève l’intelligence artificielle ?</w:t>
      </w:r>
    </w:p>
    <w:p w:rsidR="00971CD9" w:rsidRPr="00971CD9" w:rsidRDefault="00971CD9" w:rsidP="00971CD9">
      <w:pPr>
        <w:pStyle w:val="Paragraphedeliste"/>
        <w:widowControl/>
        <w:numPr>
          <w:ilvl w:val="0"/>
          <w:numId w:val="1"/>
        </w:numPr>
        <w:autoSpaceDE/>
        <w:autoSpaceDN/>
        <w:contextualSpacing/>
        <w:jc w:val="both"/>
        <w:rPr>
          <w:rFonts w:eastAsia="Times New Roman"/>
          <w:lang w:val="fr-FR" w:eastAsia="fr-FR"/>
        </w:rPr>
      </w:pPr>
      <w:r w:rsidRPr="00971CD9">
        <w:rPr>
          <w:rFonts w:eastAsia="Times New Roman"/>
          <w:color w:val="000000"/>
          <w:shd w:val="clear" w:color="auto" w:fill="FFFFFF"/>
          <w:lang w:val="fr-FR" w:eastAsia="fr-FR"/>
        </w:rPr>
        <w:t>Quelle convergence entre les discours inclusifs et les actions tangibles des organisations ?</w:t>
      </w:r>
    </w:p>
    <w:p w:rsidR="00971CD9" w:rsidRPr="00971CD9" w:rsidRDefault="00971CD9" w:rsidP="00971CD9">
      <w:pPr>
        <w:pStyle w:val="Paragraphedeliste"/>
        <w:widowControl/>
        <w:numPr>
          <w:ilvl w:val="0"/>
          <w:numId w:val="1"/>
        </w:numPr>
        <w:autoSpaceDE/>
        <w:autoSpaceDN/>
        <w:contextualSpacing/>
        <w:jc w:val="both"/>
        <w:rPr>
          <w:color w:val="000000" w:themeColor="text1"/>
          <w:lang w:val="fr-FR"/>
        </w:rPr>
      </w:pPr>
      <w:r w:rsidRPr="00971CD9">
        <w:rPr>
          <w:color w:val="000000" w:themeColor="text1"/>
          <w:lang w:val="fr-FR"/>
        </w:rPr>
        <w:t>Comment penser les relations entre individus dans des structures virtuelles et souvent éclatées ?</w:t>
      </w:r>
    </w:p>
    <w:p w:rsidR="00971CD9" w:rsidRPr="00971CD9" w:rsidRDefault="00971CD9" w:rsidP="00971CD9">
      <w:pPr>
        <w:pStyle w:val="Paragraphedeliste"/>
        <w:widowControl/>
        <w:numPr>
          <w:ilvl w:val="0"/>
          <w:numId w:val="1"/>
        </w:numPr>
        <w:autoSpaceDE/>
        <w:autoSpaceDN/>
        <w:contextualSpacing/>
        <w:jc w:val="both"/>
        <w:rPr>
          <w:color w:val="000000" w:themeColor="text1"/>
          <w:lang w:val="fr-FR"/>
        </w:rPr>
      </w:pPr>
      <w:r w:rsidRPr="00971CD9">
        <w:rPr>
          <w:color w:val="000000" w:themeColor="text1"/>
          <w:lang w:val="fr-FR"/>
        </w:rPr>
        <w:t>Dans quelle mesure l’approche inclusive permet-elle de d’enrichir les politiques de gestion de la diversité, de la mixité ou du capital humain ?</w:t>
      </w:r>
    </w:p>
    <w:p w:rsidR="00971CD9" w:rsidRPr="00971CD9" w:rsidRDefault="00971CD9" w:rsidP="00971CD9">
      <w:pPr>
        <w:pStyle w:val="Paragraphedeliste"/>
        <w:widowControl/>
        <w:numPr>
          <w:ilvl w:val="0"/>
          <w:numId w:val="1"/>
        </w:numPr>
        <w:autoSpaceDE/>
        <w:autoSpaceDN/>
        <w:contextualSpacing/>
        <w:jc w:val="both"/>
        <w:rPr>
          <w:color w:val="000000" w:themeColor="text1"/>
          <w:lang w:val="fr-FR"/>
        </w:rPr>
      </w:pPr>
      <w:r w:rsidRPr="00971CD9">
        <w:rPr>
          <w:color w:val="000000" w:themeColor="text1"/>
          <w:lang w:val="fr-FR"/>
        </w:rPr>
        <w:t>Quelles démarches de responsabilité sociale concourent à l’inclusion dans l’emploi ?</w:t>
      </w:r>
    </w:p>
    <w:p w:rsidR="00971CD9" w:rsidRPr="00971CD9" w:rsidRDefault="00971CD9" w:rsidP="00971CD9">
      <w:pPr>
        <w:rPr>
          <w:sz w:val="28"/>
          <w:szCs w:val="28"/>
          <w:lang w:val="fr-FR"/>
        </w:rPr>
      </w:pPr>
    </w:p>
    <w:p w:rsidR="00971CD9" w:rsidRPr="006B1544" w:rsidRDefault="00971CD9" w:rsidP="00971CD9">
      <w:pPr>
        <w:jc w:val="both"/>
        <w:rPr>
          <w:rFonts w:eastAsia="Times New Roman"/>
          <w:color w:val="212121"/>
          <w:lang w:val="fr-FR" w:eastAsia="fr-FR"/>
        </w:rPr>
      </w:pPr>
      <w:r w:rsidRPr="006B1544">
        <w:rPr>
          <w:rFonts w:eastAsia="Times New Roman"/>
          <w:color w:val="212121"/>
          <w:lang w:val="fr-FR" w:eastAsia="fr-FR"/>
        </w:rPr>
        <w:t xml:space="preserve">Au-delà de cette thématique, toutes les contributions témoignant de recherches contemporaines en GRH seront également les bienvenues. Par ailleurs, les contributions en langue anglaise sont tout à fait envisageables. </w:t>
      </w:r>
    </w:p>
    <w:p w:rsidR="00971CD9" w:rsidRPr="00971CD9" w:rsidRDefault="00971CD9" w:rsidP="00971CD9">
      <w:pPr>
        <w:jc w:val="both"/>
        <w:rPr>
          <w:rFonts w:asciiTheme="majorHAnsi" w:eastAsia="Times New Roman" w:hAnsiTheme="majorHAnsi" w:cstheme="majorHAnsi"/>
          <w:color w:val="212121"/>
          <w:lang w:val="fr-FR" w:eastAsia="fr-FR"/>
        </w:rPr>
      </w:pPr>
    </w:p>
    <w:p w:rsidR="00971CD9" w:rsidRPr="00971CD9" w:rsidRDefault="00971CD9" w:rsidP="00971CD9">
      <w:pPr>
        <w:jc w:val="both"/>
        <w:rPr>
          <w:rFonts w:eastAsia="Times New Roman"/>
          <w:b/>
          <w:bCs/>
          <w:color w:val="007E39"/>
          <w:lang w:val="fr-FR" w:eastAsia="fr-FR"/>
        </w:rPr>
      </w:pPr>
      <w:r w:rsidRPr="00971CD9">
        <w:rPr>
          <w:rFonts w:eastAsia="Times New Roman"/>
          <w:b/>
          <w:bCs/>
          <w:color w:val="007E39"/>
          <w:lang w:val="fr-FR" w:eastAsia="fr-FR"/>
        </w:rPr>
        <w:t xml:space="preserve">Références bibliographiques : </w:t>
      </w:r>
    </w:p>
    <w:p w:rsidR="00971CD9" w:rsidRPr="00B7476E" w:rsidRDefault="00971CD9" w:rsidP="00971CD9">
      <w:pPr>
        <w:jc w:val="both"/>
        <w:rPr>
          <w:rFonts w:eastAsia="Times New Roman"/>
          <w:color w:val="212121"/>
          <w:sz w:val="20"/>
          <w:szCs w:val="20"/>
          <w:lang w:val="fr-FR" w:eastAsia="fr-FR"/>
        </w:rPr>
      </w:pPr>
      <w:r w:rsidRPr="00B7476E">
        <w:rPr>
          <w:rFonts w:eastAsia="Times New Roman"/>
          <w:color w:val="212121"/>
          <w:sz w:val="20"/>
          <w:szCs w:val="20"/>
          <w:lang w:val="fr-FR" w:eastAsia="fr-FR"/>
        </w:rPr>
        <w:t>Bouquet B., (2015), L’inclusion : approche socio-sémantique, Vie sociale, 11(3), p.  15-25</w:t>
      </w:r>
    </w:p>
    <w:p w:rsidR="00971CD9" w:rsidRPr="00B7476E" w:rsidRDefault="00971CD9" w:rsidP="00971CD9">
      <w:pPr>
        <w:jc w:val="both"/>
        <w:rPr>
          <w:rFonts w:eastAsia="Times New Roman"/>
          <w:color w:val="212121"/>
          <w:sz w:val="20"/>
          <w:szCs w:val="20"/>
          <w:lang w:val="fr-FR" w:eastAsia="fr-FR"/>
        </w:rPr>
      </w:pPr>
      <w:r w:rsidRPr="00B7476E">
        <w:rPr>
          <w:rFonts w:eastAsia="Times New Roman"/>
          <w:color w:val="212121"/>
          <w:sz w:val="20"/>
          <w:szCs w:val="20"/>
          <w:lang w:val="fr-FR" w:eastAsia="fr-FR"/>
        </w:rPr>
        <w:t>Gardien E., (2015), L’inclusion en pratiques : L’exemple de JAG, une ONG de personnes polyhandicapées vivant au cœur de la société suédoise, Vie sociale, 11(3), p. 81-95</w:t>
      </w:r>
    </w:p>
    <w:p w:rsidR="00971CD9" w:rsidRPr="00B7476E" w:rsidRDefault="00971CD9" w:rsidP="00971CD9">
      <w:pPr>
        <w:jc w:val="both"/>
        <w:rPr>
          <w:rFonts w:eastAsia="Times New Roman"/>
          <w:color w:val="212121"/>
          <w:sz w:val="20"/>
          <w:szCs w:val="20"/>
          <w:lang w:eastAsia="fr-FR"/>
        </w:rPr>
      </w:pPr>
      <w:r w:rsidRPr="00B7476E">
        <w:rPr>
          <w:rFonts w:eastAsia="Times New Roman"/>
          <w:color w:val="212121"/>
          <w:sz w:val="20"/>
          <w:szCs w:val="20"/>
          <w:lang w:eastAsia="fr-FR"/>
        </w:rPr>
        <w:t xml:space="preserve">Mitchell R., Boyle B., Parker V., Giles M., Chiang V. &amp; Joyce P. (2015). Managing Inclusiveness and Diversity in Teams: How Leader Inclusiveness Affects Performance through Status and Team Identity. </w:t>
      </w:r>
      <w:r w:rsidRPr="00B7476E">
        <w:rPr>
          <w:rFonts w:eastAsia="Times New Roman"/>
          <w:i/>
          <w:iCs/>
          <w:color w:val="212121"/>
          <w:sz w:val="20"/>
          <w:szCs w:val="20"/>
          <w:lang w:eastAsia="fr-FR"/>
        </w:rPr>
        <w:t xml:space="preserve">Human Resource Management, </w:t>
      </w:r>
      <w:r w:rsidRPr="00B7476E">
        <w:rPr>
          <w:rFonts w:eastAsia="Times New Roman"/>
          <w:color w:val="212121"/>
          <w:sz w:val="20"/>
          <w:szCs w:val="20"/>
          <w:lang w:eastAsia="fr-FR"/>
        </w:rPr>
        <w:t>54(2), 217-239.</w:t>
      </w:r>
    </w:p>
    <w:p w:rsidR="00971CD9" w:rsidRPr="00B7476E" w:rsidRDefault="00971CD9" w:rsidP="00971CD9">
      <w:pPr>
        <w:jc w:val="both"/>
        <w:rPr>
          <w:rFonts w:eastAsia="Times New Roman"/>
          <w:color w:val="212121"/>
          <w:sz w:val="20"/>
          <w:szCs w:val="20"/>
          <w:lang w:eastAsia="fr-FR"/>
        </w:rPr>
      </w:pPr>
      <w:r w:rsidRPr="00B7476E">
        <w:rPr>
          <w:rFonts w:eastAsia="Times New Roman"/>
          <w:color w:val="212121"/>
          <w:sz w:val="20"/>
          <w:szCs w:val="20"/>
          <w:lang w:eastAsia="fr-FR"/>
        </w:rPr>
        <w:t xml:space="preserve">Nishii, L.H. (2013), </w:t>
      </w:r>
      <w:proofErr w:type="gramStart"/>
      <w:r w:rsidRPr="00B7476E">
        <w:rPr>
          <w:rFonts w:eastAsia="Times New Roman"/>
          <w:color w:val="212121"/>
          <w:sz w:val="20"/>
          <w:szCs w:val="20"/>
          <w:lang w:eastAsia="fr-FR"/>
        </w:rPr>
        <w:t>The</w:t>
      </w:r>
      <w:proofErr w:type="gramEnd"/>
      <w:r w:rsidRPr="00B7476E">
        <w:rPr>
          <w:rFonts w:eastAsia="Times New Roman"/>
          <w:color w:val="212121"/>
          <w:sz w:val="20"/>
          <w:szCs w:val="20"/>
          <w:lang w:eastAsia="fr-FR"/>
        </w:rPr>
        <w:t xml:space="preserve"> Benefits of Climate for Inclusion for Gender-Diverse Groups. </w:t>
      </w:r>
      <w:r w:rsidRPr="00B7476E">
        <w:rPr>
          <w:rFonts w:eastAsia="Times New Roman"/>
          <w:i/>
          <w:iCs/>
          <w:color w:val="212121"/>
          <w:sz w:val="20"/>
          <w:szCs w:val="20"/>
          <w:lang w:eastAsia="fr-FR"/>
        </w:rPr>
        <w:t>Academy of Management Journal</w:t>
      </w:r>
      <w:proofErr w:type="gramStart"/>
      <w:r w:rsidRPr="00B7476E">
        <w:rPr>
          <w:rFonts w:eastAsia="Times New Roman"/>
          <w:i/>
          <w:iCs/>
          <w:color w:val="212121"/>
          <w:sz w:val="20"/>
          <w:szCs w:val="20"/>
          <w:lang w:eastAsia="fr-FR"/>
        </w:rPr>
        <w:t>,</w:t>
      </w:r>
      <w:r w:rsidRPr="00B7476E">
        <w:rPr>
          <w:rFonts w:eastAsia="Times New Roman"/>
          <w:color w:val="212121"/>
          <w:sz w:val="20"/>
          <w:szCs w:val="20"/>
          <w:lang w:eastAsia="fr-FR"/>
        </w:rPr>
        <w:t>56</w:t>
      </w:r>
      <w:proofErr w:type="gramEnd"/>
      <w:r w:rsidRPr="00B7476E">
        <w:rPr>
          <w:rFonts w:eastAsia="Times New Roman"/>
          <w:color w:val="212121"/>
          <w:sz w:val="20"/>
          <w:szCs w:val="20"/>
          <w:lang w:eastAsia="fr-FR"/>
        </w:rPr>
        <w:t>(6), 1754-1774.</w:t>
      </w:r>
    </w:p>
    <w:p w:rsidR="00971CD9" w:rsidRPr="00B7476E" w:rsidRDefault="00971CD9" w:rsidP="00971CD9">
      <w:pPr>
        <w:jc w:val="both"/>
        <w:rPr>
          <w:rFonts w:eastAsia="Times New Roman"/>
          <w:color w:val="212121"/>
          <w:sz w:val="20"/>
          <w:szCs w:val="20"/>
          <w:lang w:eastAsia="fr-FR"/>
        </w:rPr>
      </w:pPr>
      <w:r w:rsidRPr="00B7476E">
        <w:rPr>
          <w:rFonts w:eastAsia="Times New Roman"/>
          <w:color w:val="212121"/>
          <w:sz w:val="20"/>
          <w:szCs w:val="20"/>
          <w:lang w:eastAsia="fr-FR"/>
        </w:rPr>
        <w:t xml:space="preserve">Roberson, Q. M. (2006). Disentangling the Meanings of Diversity and Inclusion in Organizations. </w:t>
      </w:r>
      <w:r w:rsidRPr="00B7476E">
        <w:rPr>
          <w:rFonts w:eastAsia="Times New Roman"/>
          <w:i/>
          <w:iCs/>
          <w:color w:val="212121"/>
          <w:sz w:val="20"/>
          <w:szCs w:val="20"/>
          <w:lang w:eastAsia="fr-FR"/>
        </w:rPr>
        <w:t>Group &amp; Organization Management</w:t>
      </w:r>
      <w:proofErr w:type="gramStart"/>
      <w:r w:rsidRPr="00B7476E">
        <w:rPr>
          <w:rFonts w:eastAsia="Times New Roman"/>
          <w:i/>
          <w:iCs/>
          <w:color w:val="212121"/>
          <w:sz w:val="20"/>
          <w:szCs w:val="20"/>
          <w:lang w:eastAsia="fr-FR"/>
        </w:rPr>
        <w:t>,</w:t>
      </w:r>
      <w:r w:rsidRPr="00B7476E">
        <w:rPr>
          <w:rFonts w:eastAsia="Times New Roman"/>
          <w:color w:val="212121"/>
          <w:sz w:val="20"/>
          <w:szCs w:val="20"/>
          <w:lang w:eastAsia="fr-FR"/>
        </w:rPr>
        <w:t>31</w:t>
      </w:r>
      <w:proofErr w:type="gramEnd"/>
      <w:r w:rsidRPr="00B7476E">
        <w:rPr>
          <w:rFonts w:eastAsia="Times New Roman"/>
          <w:color w:val="212121"/>
          <w:sz w:val="20"/>
          <w:szCs w:val="20"/>
          <w:lang w:eastAsia="fr-FR"/>
        </w:rPr>
        <w:t xml:space="preserve">(2), 212-236. </w:t>
      </w:r>
    </w:p>
    <w:p w:rsidR="00971CD9" w:rsidRPr="00B7476E" w:rsidRDefault="00971CD9" w:rsidP="00971CD9">
      <w:pPr>
        <w:jc w:val="both"/>
        <w:rPr>
          <w:rFonts w:eastAsia="Times New Roman"/>
          <w:color w:val="212121"/>
          <w:sz w:val="20"/>
          <w:szCs w:val="20"/>
          <w:lang w:val="fr-FR" w:eastAsia="fr-FR"/>
        </w:rPr>
      </w:pPr>
      <w:r w:rsidRPr="00B7476E">
        <w:rPr>
          <w:rFonts w:eastAsia="Times New Roman"/>
          <w:color w:val="212121"/>
          <w:sz w:val="20"/>
          <w:szCs w:val="20"/>
          <w:lang w:eastAsia="fr-FR"/>
        </w:rPr>
        <w:t xml:space="preserve">Shore, L. M., Randel, A. E., Chung, B. G., Dean, M. A., </w:t>
      </w:r>
      <w:proofErr w:type="spellStart"/>
      <w:r w:rsidRPr="00B7476E">
        <w:rPr>
          <w:rFonts w:eastAsia="Times New Roman"/>
          <w:color w:val="212121"/>
          <w:sz w:val="20"/>
          <w:szCs w:val="20"/>
          <w:lang w:eastAsia="fr-FR"/>
        </w:rPr>
        <w:t>Ehrhart</w:t>
      </w:r>
      <w:proofErr w:type="spellEnd"/>
      <w:r w:rsidRPr="00B7476E">
        <w:rPr>
          <w:rFonts w:eastAsia="Times New Roman"/>
          <w:color w:val="212121"/>
          <w:sz w:val="20"/>
          <w:szCs w:val="20"/>
          <w:lang w:eastAsia="fr-FR"/>
        </w:rPr>
        <w:t xml:space="preserve">, K. H., &amp; Singh, G. (2011). Inclusion and Diversity in Work Groups: A Review and Model for Future Research. </w:t>
      </w:r>
      <w:r w:rsidRPr="00B7476E">
        <w:rPr>
          <w:rFonts w:eastAsia="Times New Roman"/>
          <w:i/>
          <w:iCs/>
          <w:color w:val="212121"/>
          <w:sz w:val="20"/>
          <w:szCs w:val="20"/>
          <w:lang w:val="fr-FR" w:eastAsia="fr-FR"/>
        </w:rPr>
        <w:t xml:space="preserve">Journal of Management, </w:t>
      </w:r>
      <w:r w:rsidRPr="00B7476E">
        <w:rPr>
          <w:rFonts w:eastAsia="Times New Roman"/>
          <w:color w:val="212121"/>
          <w:sz w:val="20"/>
          <w:szCs w:val="20"/>
          <w:lang w:val="fr-FR" w:eastAsia="fr-FR"/>
        </w:rPr>
        <w:t>37(4), 1262–1289.</w:t>
      </w:r>
    </w:p>
    <w:p w:rsidR="00971CD9" w:rsidRPr="00C47F65" w:rsidRDefault="00971CD9" w:rsidP="00971CD9">
      <w:pPr>
        <w:jc w:val="both"/>
        <w:rPr>
          <w:rFonts w:asciiTheme="majorHAnsi" w:eastAsia="Times New Roman" w:hAnsiTheme="majorHAnsi" w:cstheme="majorHAnsi"/>
          <w:color w:val="212121"/>
          <w:lang w:eastAsia="fr-FR"/>
        </w:rPr>
      </w:pPr>
    </w:p>
    <w:p w:rsidR="00951CDE" w:rsidRDefault="00951CDE">
      <w:pPr>
        <w:rPr>
          <w:sz w:val="17"/>
        </w:rPr>
      </w:pPr>
    </w:p>
    <w:p w:rsidR="00971CD9" w:rsidRDefault="00971CD9">
      <w:pPr>
        <w:rPr>
          <w:sz w:val="17"/>
        </w:rPr>
      </w:pPr>
    </w:p>
    <w:p w:rsidR="00971CD9" w:rsidRPr="00971CD9" w:rsidRDefault="006B1544" w:rsidP="00971CD9">
      <w:pPr>
        <w:rPr>
          <w:b/>
          <w:bCs/>
          <w:color w:val="007E39"/>
          <w:lang w:val="fr-FR"/>
        </w:rPr>
      </w:pPr>
      <w:r>
        <w:rPr>
          <w:b/>
          <w:bCs/>
          <w:noProof/>
          <w:color w:val="007E39"/>
          <w:lang w:val="fr-FR" w:eastAsia="fr-FR"/>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1918800" cy="2883600"/>
            <wp:effectExtent l="0" t="0" r="0" b="0"/>
            <wp:wrapSquare wrapText="bothSides"/>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Cathédrale de nuit  04_SFrémo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8800" cy="2883600"/>
                    </a:xfrm>
                    <a:prstGeom prst="rect">
                      <a:avLst/>
                    </a:prstGeom>
                  </pic:spPr>
                </pic:pic>
              </a:graphicData>
            </a:graphic>
            <wp14:sizeRelH relativeFrom="margin">
              <wp14:pctWidth>0</wp14:pctWidth>
            </wp14:sizeRelH>
            <wp14:sizeRelV relativeFrom="margin">
              <wp14:pctHeight>0</wp14:pctHeight>
            </wp14:sizeRelV>
          </wp:anchor>
        </w:drawing>
      </w:r>
      <w:r w:rsidR="00971CD9" w:rsidRPr="00971CD9">
        <w:rPr>
          <w:b/>
          <w:bCs/>
          <w:color w:val="007E39"/>
          <w:lang w:val="fr-FR"/>
        </w:rPr>
        <w:t xml:space="preserve">Calendrier des soumissions : </w:t>
      </w:r>
    </w:p>
    <w:p w:rsidR="00971CD9" w:rsidRPr="00971CD9" w:rsidRDefault="00971CD9" w:rsidP="00971CD9">
      <w:pPr>
        <w:rPr>
          <w:lang w:val="fr-FR"/>
        </w:rPr>
      </w:pPr>
    </w:p>
    <w:p w:rsidR="00971CD9" w:rsidRPr="00971CD9" w:rsidRDefault="00971CD9" w:rsidP="00971CD9">
      <w:pPr>
        <w:rPr>
          <w:lang w:val="fr-FR"/>
        </w:rPr>
      </w:pPr>
      <w:r w:rsidRPr="00971CD9">
        <w:rPr>
          <w:lang w:val="fr-FR"/>
        </w:rPr>
        <w:t>Les soumissions devront être déposées sur le site : https://agrh2020.sciencesconf.org (site en cours de construction).</w:t>
      </w:r>
    </w:p>
    <w:p w:rsidR="00971CD9" w:rsidRPr="00971CD9" w:rsidRDefault="00971CD9" w:rsidP="00971CD9">
      <w:pPr>
        <w:rPr>
          <w:lang w:val="fr-FR"/>
        </w:rPr>
      </w:pPr>
    </w:p>
    <w:p w:rsidR="00971CD9" w:rsidRPr="00971CD9" w:rsidRDefault="00971CD9" w:rsidP="00971CD9">
      <w:pPr>
        <w:pStyle w:val="NormalWeb"/>
        <w:numPr>
          <w:ilvl w:val="0"/>
          <w:numId w:val="3"/>
        </w:numPr>
        <w:shd w:val="clear" w:color="auto" w:fill="FFFFFF"/>
        <w:spacing w:before="0" w:beforeAutospacing="0" w:after="120" w:afterAutospacing="0"/>
        <w:ind w:left="714" w:hanging="357"/>
        <w:jc w:val="both"/>
        <w:rPr>
          <w:rFonts w:ascii="Arial" w:hAnsi="Arial" w:cs="Arial"/>
          <w:color w:val="000000" w:themeColor="text1"/>
          <w:sz w:val="22"/>
          <w:szCs w:val="22"/>
        </w:rPr>
      </w:pPr>
      <w:r w:rsidRPr="00971CD9">
        <w:rPr>
          <w:rFonts w:ascii="Arial" w:hAnsi="Arial" w:cs="Arial"/>
          <w:color w:val="000000" w:themeColor="text1"/>
          <w:sz w:val="22"/>
          <w:szCs w:val="22"/>
        </w:rPr>
        <w:t>1</w:t>
      </w:r>
      <w:r w:rsidRPr="00971CD9">
        <w:rPr>
          <w:rFonts w:ascii="Arial" w:hAnsi="Arial" w:cs="Arial"/>
          <w:color w:val="000000" w:themeColor="text1"/>
          <w:sz w:val="22"/>
          <w:szCs w:val="22"/>
          <w:vertAlign w:val="superscript"/>
        </w:rPr>
        <w:t>er</w:t>
      </w:r>
      <w:r w:rsidRPr="00971CD9">
        <w:rPr>
          <w:rFonts w:ascii="Arial" w:hAnsi="Arial" w:cs="Arial"/>
          <w:color w:val="000000" w:themeColor="text1"/>
          <w:sz w:val="22"/>
          <w:szCs w:val="22"/>
        </w:rPr>
        <w:t xml:space="preserve"> mars 2020 : dépôt des intentions de communication. </w:t>
      </w:r>
    </w:p>
    <w:p w:rsidR="00971CD9" w:rsidRPr="00971CD9" w:rsidRDefault="00971CD9" w:rsidP="00971CD9">
      <w:pPr>
        <w:pStyle w:val="NormalWeb"/>
        <w:numPr>
          <w:ilvl w:val="0"/>
          <w:numId w:val="5"/>
        </w:numPr>
        <w:jc w:val="both"/>
        <w:rPr>
          <w:rFonts w:ascii="Arial" w:hAnsi="Arial" w:cs="Arial"/>
          <w:sz w:val="22"/>
          <w:szCs w:val="22"/>
        </w:rPr>
      </w:pPr>
      <w:r w:rsidRPr="00971CD9">
        <w:rPr>
          <w:rFonts w:ascii="Arial" w:hAnsi="Arial" w:cs="Arial"/>
          <w:i/>
          <w:iCs/>
          <w:color w:val="000000" w:themeColor="text1"/>
          <w:sz w:val="22"/>
          <w:szCs w:val="22"/>
        </w:rPr>
        <w:t>10 avril 2020</w:t>
      </w:r>
      <w:r w:rsidRPr="00971CD9">
        <w:rPr>
          <w:rFonts w:ascii="Arial" w:hAnsi="Arial" w:cs="Arial"/>
          <w:color w:val="000000" w:themeColor="text1"/>
          <w:sz w:val="22"/>
          <w:szCs w:val="22"/>
        </w:rPr>
        <w:t xml:space="preserve"> : dépôt des </w:t>
      </w:r>
      <w:r w:rsidRPr="00971CD9">
        <w:rPr>
          <w:rFonts w:ascii="Arial" w:hAnsi="Arial" w:cs="Arial"/>
          <w:b/>
          <w:bCs/>
          <w:color w:val="000000" w:themeColor="text1"/>
          <w:sz w:val="22"/>
          <w:szCs w:val="22"/>
        </w:rPr>
        <w:t>communications</w:t>
      </w:r>
      <w:r w:rsidRPr="00971CD9">
        <w:rPr>
          <w:rFonts w:ascii="Arial" w:hAnsi="Arial" w:cs="Arial"/>
          <w:color w:val="000000" w:themeColor="text1"/>
          <w:sz w:val="22"/>
          <w:szCs w:val="22"/>
        </w:rPr>
        <w:t xml:space="preserve"> sur la plateforme du congrès AGRH Tours 2020. </w:t>
      </w:r>
    </w:p>
    <w:p w:rsidR="00971CD9" w:rsidRDefault="00971CD9" w:rsidP="00971CD9">
      <w:pPr>
        <w:pStyle w:val="Paragraphedeliste"/>
        <w:widowControl/>
        <w:numPr>
          <w:ilvl w:val="0"/>
          <w:numId w:val="2"/>
        </w:numPr>
        <w:autoSpaceDE/>
        <w:autoSpaceDN/>
        <w:spacing w:after="120"/>
        <w:ind w:left="714" w:hanging="357"/>
        <w:contextualSpacing/>
        <w:jc w:val="both"/>
        <w:rPr>
          <w:color w:val="000000" w:themeColor="text1"/>
          <w:lang w:val="fr-FR"/>
        </w:rPr>
      </w:pPr>
      <w:r w:rsidRPr="00971CD9">
        <w:rPr>
          <w:i/>
          <w:iCs/>
          <w:color w:val="000000" w:themeColor="text1"/>
          <w:lang w:val="fr-FR"/>
        </w:rPr>
        <w:t>12 juin 2020</w:t>
      </w:r>
      <w:r w:rsidRPr="00971CD9">
        <w:rPr>
          <w:color w:val="000000" w:themeColor="text1"/>
          <w:lang w:val="fr-FR"/>
        </w:rPr>
        <w:t> : date limite de réception des textes avec les modifications demandées.</w:t>
      </w:r>
    </w:p>
    <w:p w:rsidR="00435785" w:rsidRDefault="00435785" w:rsidP="00435785">
      <w:pPr>
        <w:pStyle w:val="Paragraphedeliste"/>
        <w:widowControl/>
        <w:autoSpaceDE/>
        <w:autoSpaceDN/>
        <w:spacing w:after="120"/>
        <w:ind w:left="714"/>
        <w:contextualSpacing/>
        <w:jc w:val="both"/>
        <w:rPr>
          <w:color w:val="000000" w:themeColor="text1"/>
          <w:lang w:val="fr-FR"/>
        </w:rPr>
      </w:pPr>
    </w:p>
    <w:p w:rsidR="00435785" w:rsidRPr="00971CD9" w:rsidRDefault="00435785" w:rsidP="00435785">
      <w:pPr>
        <w:pStyle w:val="Paragraphedeliste"/>
        <w:widowControl/>
        <w:numPr>
          <w:ilvl w:val="0"/>
          <w:numId w:val="2"/>
        </w:numPr>
        <w:autoSpaceDE/>
        <w:autoSpaceDN/>
        <w:spacing w:after="120"/>
        <w:ind w:left="3261" w:hanging="357"/>
        <w:contextualSpacing/>
        <w:jc w:val="both"/>
        <w:rPr>
          <w:color w:val="000000" w:themeColor="text1"/>
          <w:lang w:val="fr-FR"/>
        </w:rPr>
      </w:pPr>
      <w:r w:rsidRPr="00435785">
        <w:rPr>
          <w:i/>
          <w:iCs/>
          <w:color w:val="000000" w:themeColor="text1"/>
          <w:lang w:val="fr-FR"/>
        </w:rPr>
        <w:t>30 septembre 2020</w:t>
      </w:r>
      <w:r w:rsidRPr="00435785">
        <w:rPr>
          <w:color w:val="000000" w:themeColor="text1"/>
          <w:lang w:val="fr-FR"/>
        </w:rPr>
        <w:t xml:space="preserve"> : propositions de communication à un </w:t>
      </w:r>
      <w:r w:rsidRPr="00435785">
        <w:rPr>
          <w:b/>
          <w:bCs/>
          <w:color w:val="000000" w:themeColor="text1"/>
          <w:lang w:val="fr-FR"/>
        </w:rPr>
        <w:t>atelier doctoral</w:t>
      </w:r>
    </w:p>
    <w:p w:rsidR="00971CD9" w:rsidRDefault="00971CD9" w:rsidP="00971CD9">
      <w:pPr>
        <w:pStyle w:val="Paragraphedeliste"/>
        <w:spacing w:after="120"/>
        <w:ind w:left="714"/>
        <w:jc w:val="both"/>
        <w:rPr>
          <w:lang w:val="fr-FR"/>
        </w:rPr>
      </w:pPr>
    </w:p>
    <w:p w:rsidR="007A21EA" w:rsidRDefault="007A21EA" w:rsidP="007A21EA">
      <w:pPr>
        <w:widowControl/>
        <w:autoSpaceDE/>
        <w:autoSpaceDN/>
        <w:spacing w:after="120"/>
        <w:contextualSpacing/>
        <w:jc w:val="both"/>
        <w:rPr>
          <w:lang w:val="fr-FR"/>
        </w:rPr>
      </w:pPr>
    </w:p>
    <w:p w:rsidR="00B7476E" w:rsidRDefault="00B7476E" w:rsidP="007A21EA">
      <w:pPr>
        <w:widowControl/>
        <w:autoSpaceDE/>
        <w:autoSpaceDN/>
        <w:spacing w:after="120"/>
        <w:contextualSpacing/>
        <w:jc w:val="both"/>
        <w:rPr>
          <w:lang w:val="fr-FR"/>
        </w:rPr>
      </w:pPr>
    </w:p>
    <w:p w:rsidR="00B7476E" w:rsidRDefault="00B7476E" w:rsidP="007A21EA">
      <w:pPr>
        <w:widowControl/>
        <w:autoSpaceDE/>
        <w:autoSpaceDN/>
        <w:spacing w:after="120"/>
        <w:contextualSpacing/>
        <w:jc w:val="both"/>
        <w:rPr>
          <w:rFonts w:eastAsiaTheme="minorHAnsi"/>
          <w:lang w:val="fr-FR"/>
        </w:rPr>
      </w:pPr>
    </w:p>
    <w:p w:rsidR="007A21EA" w:rsidRDefault="007A21EA" w:rsidP="007A21EA">
      <w:pPr>
        <w:widowControl/>
        <w:autoSpaceDE/>
        <w:autoSpaceDN/>
        <w:spacing w:after="120"/>
        <w:contextualSpacing/>
        <w:jc w:val="both"/>
        <w:rPr>
          <w:rFonts w:eastAsiaTheme="minorHAnsi"/>
          <w:lang w:val="fr-FR"/>
        </w:rPr>
      </w:pPr>
    </w:p>
    <w:p w:rsidR="007A21EA" w:rsidRDefault="007A21EA" w:rsidP="007A21EA">
      <w:pPr>
        <w:widowControl/>
        <w:autoSpaceDE/>
        <w:autoSpaceDN/>
        <w:spacing w:after="120"/>
        <w:contextualSpacing/>
        <w:jc w:val="both"/>
        <w:rPr>
          <w:rFonts w:eastAsiaTheme="minorHAnsi"/>
          <w:lang w:val="fr-FR"/>
        </w:rPr>
      </w:pPr>
    </w:p>
    <w:p w:rsidR="007A21EA" w:rsidRPr="00435785" w:rsidRDefault="007A21EA" w:rsidP="00435785">
      <w:pPr>
        <w:widowControl/>
        <w:pBdr>
          <w:top w:val="single" w:sz="4" w:space="1" w:color="auto"/>
          <w:left w:val="single" w:sz="4" w:space="4" w:color="auto"/>
          <w:bottom w:val="single" w:sz="4" w:space="1" w:color="auto"/>
          <w:right w:val="single" w:sz="4" w:space="4" w:color="auto"/>
        </w:pBdr>
        <w:autoSpaceDE/>
        <w:autoSpaceDN/>
        <w:spacing w:after="120"/>
        <w:contextualSpacing/>
        <w:jc w:val="both"/>
        <w:rPr>
          <w:rFonts w:eastAsiaTheme="minorHAnsi"/>
          <w:sz w:val="24"/>
          <w:szCs w:val="24"/>
          <w:lang w:val="fr-FR"/>
        </w:rPr>
      </w:pPr>
      <w:r w:rsidRPr="00435785">
        <w:rPr>
          <w:rFonts w:eastAsiaTheme="minorHAnsi"/>
          <w:sz w:val="24"/>
          <w:szCs w:val="24"/>
          <w:lang w:val="fr-FR"/>
        </w:rPr>
        <w:lastRenderedPageBreak/>
        <w:t xml:space="preserve">Les propositions de communication se feront dans le cadre du thème de l’AGRH et s’intégreront dans le cadre </w:t>
      </w:r>
      <w:r w:rsidRPr="00435785">
        <w:rPr>
          <w:rFonts w:eastAsiaTheme="minorHAnsi"/>
          <w:b/>
          <w:sz w:val="24"/>
          <w:szCs w:val="24"/>
          <w:lang w:val="fr-FR"/>
        </w:rPr>
        <w:t>d’ateliers classiques ou</w:t>
      </w:r>
      <w:r w:rsidR="00A63717" w:rsidRPr="00435785">
        <w:rPr>
          <w:rFonts w:eastAsiaTheme="minorHAnsi"/>
          <w:b/>
          <w:sz w:val="24"/>
          <w:szCs w:val="24"/>
          <w:lang w:val="fr-FR"/>
        </w:rPr>
        <w:t xml:space="preserve"> </w:t>
      </w:r>
      <w:proofErr w:type="spellStart"/>
      <w:r w:rsidR="00A63717" w:rsidRPr="00435785">
        <w:rPr>
          <w:rFonts w:eastAsiaTheme="minorHAnsi"/>
          <w:b/>
          <w:sz w:val="24"/>
          <w:szCs w:val="24"/>
          <w:lang w:val="fr-FR"/>
        </w:rPr>
        <w:t>de</w:t>
      </w:r>
      <w:r w:rsidR="002A2B1C">
        <w:rPr>
          <w:rFonts w:eastAsiaTheme="minorHAnsi"/>
          <w:b/>
          <w:sz w:val="24"/>
          <w:szCs w:val="24"/>
          <w:lang w:val="fr-FR"/>
        </w:rPr>
        <w:t>TRACKS</w:t>
      </w:r>
      <w:proofErr w:type="spellEnd"/>
      <w:r w:rsidR="00A63717" w:rsidRPr="00435785">
        <w:rPr>
          <w:rFonts w:eastAsiaTheme="minorHAnsi"/>
          <w:sz w:val="24"/>
          <w:szCs w:val="24"/>
          <w:lang w:val="fr-FR"/>
        </w:rPr>
        <w:t>.</w:t>
      </w:r>
    </w:p>
    <w:p w:rsidR="00A63717" w:rsidRPr="00D7715A" w:rsidRDefault="00A63717" w:rsidP="00435785">
      <w:pPr>
        <w:widowControl/>
        <w:pBdr>
          <w:top w:val="single" w:sz="4" w:space="1" w:color="auto"/>
          <w:left w:val="single" w:sz="4" w:space="4" w:color="auto"/>
          <w:bottom w:val="single" w:sz="4" w:space="1" w:color="auto"/>
          <w:right w:val="single" w:sz="4" w:space="4" w:color="auto"/>
        </w:pBdr>
        <w:autoSpaceDE/>
        <w:autoSpaceDN/>
        <w:spacing w:after="120"/>
        <w:contextualSpacing/>
        <w:jc w:val="both"/>
        <w:rPr>
          <w:rFonts w:eastAsiaTheme="minorHAnsi"/>
          <w:sz w:val="24"/>
          <w:szCs w:val="24"/>
          <w:lang w:val="fr-FR"/>
        </w:rPr>
      </w:pPr>
      <w:r w:rsidRPr="00D7715A">
        <w:rPr>
          <w:b/>
          <w:sz w:val="24"/>
          <w:szCs w:val="24"/>
        </w:rPr>
        <w:t xml:space="preserve">Les </w:t>
      </w:r>
      <w:r w:rsidR="002A2B1C">
        <w:rPr>
          <w:b/>
          <w:sz w:val="24"/>
          <w:szCs w:val="24"/>
        </w:rPr>
        <w:t xml:space="preserve">TRACKS </w:t>
      </w:r>
      <w:proofErr w:type="spellStart"/>
      <w:r w:rsidRPr="00D7715A">
        <w:rPr>
          <w:b/>
          <w:sz w:val="24"/>
          <w:szCs w:val="24"/>
        </w:rPr>
        <w:t>sont</w:t>
      </w:r>
      <w:proofErr w:type="spellEnd"/>
      <w:r w:rsidRPr="00D7715A">
        <w:rPr>
          <w:b/>
          <w:sz w:val="24"/>
          <w:szCs w:val="24"/>
        </w:rPr>
        <w:t xml:space="preserve"> des sessions </w:t>
      </w:r>
      <w:proofErr w:type="spellStart"/>
      <w:r w:rsidRPr="00D7715A">
        <w:rPr>
          <w:b/>
          <w:sz w:val="24"/>
          <w:szCs w:val="24"/>
        </w:rPr>
        <w:t>thématiques</w:t>
      </w:r>
      <w:proofErr w:type="spellEnd"/>
      <w:r w:rsidRPr="00D7715A">
        <w:rPr>
          <w:b/>
          <w:sz w:val="24"/>
          <w:szCs w:val="24"/>
        </w:rPr>
        <w:t xml:space="preserve"> de </w:t>
      </w:r>
      <w:proofErr w:type="spellStart"/>
      <w:r w:rsidRPr="00D7715A">
        <w:rPr>
          <w:b/>
          <w:sz w:val="24"/>
          <w:szCs w:val="24"/>
        </w:rPr>
        <w:t>l'AGRH</w:t>
      </w:r>
      <w:proofErr w:type="spellEnd"/>
      <w:r w:rsidRPr="00D7715A">
        <w:rPr>
          <w:b/>
          <w:sz w:val="24"/>
          <w:szCs w:val="24"/>
        </w:rPr>
        <w:t xml:space="preserve"> </w:t>
      </w:r>
      <w:proofErr w:type="spellStart"/>
      <w:r w:rsidRPr="00D7715A">
        <w:rPr>
          <w:b/>
          <w:sz w:val="24"/>
          <w:szCs w:val="24"/>
        </w:rPr>
        <w:t>d'une</w:t>
      </w:r>
      <w:proofErr w:type="spellEnd"/>
      <w:r w:rsidRPr="00D7715A">
        <w:rPr>
          <w:b/>
          <w:sz w:val="24"/>
          <w:szCs w:val="24"/>
        </w:rPr>
        <w:t xml:space="preserve"> demi-</w:t>
      </w:r>
      <w:proofErr w:type="spellStart"/>
      <w:r w:rsidRPr="00D7715A">
        <w:rPr>
          <w:b/>
          <w:sz w:val="24"/>
          <w:szCs w:val="24"/>
        </w:rPr>
        <w:t>journée</w:t>
      </w:r>
      <w:proofErr w:type="spellEnd"/>
      <w:r w:rsidRPr="00D7715A">
        <w:rPr>
          <w:b/>
          <w:sz w:val="24"/>
          <w:szCs w:val="24"/>
        </w:rPr>
        <w:t xml:space="preserve"> à </w:t>
      </w:r>
      <w:proofErr w:type="spellStart"/>
      <w:r w:rsidRPr="00D7715A">
        <w:rPr>
          <w:b/>
          <w:sz w:val="24"/>
          <w:szCs w:val="24"/>
        </w:rPr>
        <w:t>une</w:t>
      </w:r>
      <w:proofErr w:type="spellEnd"/>
      <w:r w:rsidRPr="00D7715A">
        <w:rPr>
          <w:b/>
          <w:sz w:val="24"/>
          <w:szCs w:val="24"/>
        </w:rPr>
        <w:t xml:space="preserve"> </w:t>
      </w:r>
      <w:proofErr w:type="spellStart"/>
      <w:r w:rsidRPr="00D7715A">
        <w:rPr>
          <w:b/>
          <w:sz w:val="24"/>
          <w:szCs w:val="24"/>
        </w:rPr>
        <w:t>journée</w:t>
      </w:r>
      <w:proofErr w:type="spellEnd"/>
      <w:r w:rsidRPr="00D7715A">
        <w:rPr>
          <w:b/>
          <w:sz w:val="24"/>
          <w:szCs w:val="24"/>
        </w:rPr>
        <w:t>.</w:t>
      </w:r>
      <w:r w:rsidRPr="00D7715A">
        <w:rPr>
          <w:sz w:val="24"/>
          <w:szCs w:val="24"/>
        </w:rPr>
        <w:t xml:space="preserve"> </w:t>
      </w:r>
      <w:proofErr w:type="spellStart"/>
      <w:r w:rsidRPr="00D7715A">
        <w:rPr>
          <w:sz w:val="24"/>
          <w:szCs w:val="24"/>
        </w:rPr>
        <w:t>Elles</w:t>
      </w:r>
      <w:proofErr w:type="spellEnd"/>
      <w:r w:rsidRPr="00D7715A">
        <w:rPr>
          <w:sz w:val="24"/>
          <w:szCs w:val="24"/>
        </w:rPr>
        <w:t xml:space="preserve"> </w:t>
      </w:r>
      <w:proofErr w:type="spellStart"/>
      <w:r w:rsidRPr="00D7715A">
        <w:rPr>
          <w:sz w:val="24"/>
          <w:szCs w:val="24"/>
        </w:rPr>
        <w:t>sont</w:t>
      </w:r>
      <w:proofErr w:type="spellEnd"/>
      <w:r w:rsidRPr="00D7715A">
        <w:rPr>
          <w:sz w:val="24"/>
          <w:szCs w:val="24"/>
        </w:rPr>
        <w:t xml:space="preserve"> </w:t>
      </w:r>
      <w:proofErr w:type="spellStart"/>
      <w:r w:rsidRPr="00D7715A">
        <w:rPr>
          <w:sz w:val="24"/>
          <w:szCs w:val="24"/>
        </w:rPr>
        <w:t>animées</w:t>
      </w:r>
      <w:proofErr w:type="spellEnd"/>
      <w:r w:rsidRPr="00D7715A">
        <w:rPr>
          <w:sz w:val="24"/>
          <w:szCs w:val="24"/>
        </w:rPr>
        <w:t xml:space="preserve"> par </w:t>
      </w:r>
      <w:proofErr w:type="gramStart"/>
      <w:r w:rsidRPr="00D7715A">
        <w:rPr>
          <w:sz w:val="24"/>
          <w:szCs w:val="24"/>
        </w:rPr>
        <w:t>un</w:t>
      </w:r>
      <w:proofErr w:type="gramEnd"/>
      <w:r w:rsidRPr="00D7715A">
        <w:rPr>
          <w:sz w:val="24"/>
          <w:szCs w:val="24"/>
        </w:rPr>
        <w:t xml:space="preserve"> </w:t>
      </w:r>
      <w:proofErr w:type="spellStart"/>
      <w:r w:rsidRPr="00D7715A">
        <w:rPr>
          <w:sz w:val="24"/>
          <w:szCs w:val="24"/>
        </w:rPr>
        <w:t>groupe</w:t>
      </w:r>
      <w:proofErr w:type="spellEnd"/>
      <w:r w:rsidRPr="00D7715A">
        <w:rPr>
          <w:sz w:val="24"/>
          <w:szCs w:val="24"/>
        </w:rPr>
        <w:t xml:space="preserve"> </w:t>
      </w:r>
      <w:proofErr w:type="spellStart"/>
      <w:r w:rsidRPr="00D7715A">
        <w:rPr>
          <w:sz w:val="24"/>
          <w:szCs w:val="24"/>
        </w:rPr>
        <w:t>spécifique</w:t>
      </w:r>
      <w:proofErr w:type="spellEnd"/>
      <w:r w:rsidRPr="00D7715A">
        <w:rPr>
          <w:sz w:val="24"/>
          <w:szCs w:val="24"/>
        </w:rPr>
        <w:t xml:space="preserve"> </w:t>
      </w:r>
      <w:proofErr w:type="spellStart"/>
      <w:r w:rsidRPr="00D7715A">
        <w:rPr>
          <w:sz w:val="24"/>
          <w:szCs w:val="24"/>
        </w:rPr>
        <w:t>d'organisateurs</w:t>
      </w:r>
      <w:proofErr w:type="spellEnd"/>
      <w:r w:rsidRPr="00D7715A">
        <w:rPr>
          <w:sz w:val="24"/>
          <w:szCs w:val="24"/>
        </w:rPr>
        <w:t xml:space="preserve"> </w:t>
      </w:r>
      <w:proofErr w:type="spellStart"/>
      <w:r w:rsidRPr="00D7715A">
        <w:rPr>
          <w:sz w:val="24"/>
          <w:szCs w:val="24"/>
        </w:rPr>
        <w:t>mais</w:t>
      </w:r>
      <w:proofErr w:type="spellEnd"/>
      <w:r w:rsidRPr="00D7715A">
        <w:rPr>
          <w:sz w:val="24"/>
          <w:szCs w:val="24"/>
        </w:rPr>
        <w:t xml:space="preserve"> les communications </w:t>
      </w:r>
      <w:proofErr w:type="spellStart"/>
      <w:r w:rsidRPr="00D7715A">
        <w:rPr>
          <w:sz w:val="24"/>
          <w:szCs w:val="24"/>
        </w:rPr>
        <w:t>sont</w:t>
      </w:r>
      <w:proofErr w:type="spellEnd"/>
      <w:r w:rsidRPr="00D7715A">
        <w:rPr>
          <w:sz w:val="24"/>
          <w:szCs w:val="24"/>
        </w:rPr>
        <w:t xml:space="preserve"> </w:t>
      </w:r>
      <w:proofErr w:type="spellStart"/>
      <w:r w:rsidRPr="00D7715A">
        <w:rPr>
          <w:sz w:val="24"/>
          <w:szCs w:val="24"/>
        </w:rPr>
        <w:t>évaluées</w:t>
      </w:r>
      <w:proofErr w:type="spellEnd"/>
      <w:r w:rsidRPr="00D7715A">
        <w:rPr>
          <w:sz w:val="24"/>
          <w:szCs w:val="24"/>
        </w:rPr>
        <w:t xml:space="preserve"> </w:t>
      </w:r>
      <w:proofErr w:type="spellStart"/>
      <w:r w:rsidRPr="00D7715A">
        <w:rPr>
          <w:sz w:val="24"/>
          <w:szCs w:val="24"/>
        </w:rPr>
        <w:t>selon</w:t>
      </w:r>
      <w:proofErr w:type="spellEnd"/>
      <w:r w:rsidRPr="00D7715A">
        <w:rPr>
          <w:sz w:val="24"/>
          <w:szCs w:val="24"/>
        </w:rPr>
        <w:t xml:space="preserve"> les </w:t>
      </w:r>
      <w:proofErr w:type="spellStart"/>
      <w:r w:rsidRPr="00D7715A">
        <w:rPr>
          <w:sz w:val="24"/>
          <w:szCs w:val="24"/>
        </w:rPr>
        <w:t>mêmes</w:t>
      </w:r>
      <w:proofErr w:type="spellEnd"/>
      <w:r w:rsidRPr="00D7715A">
        <w:rPr>
          <w:sz w:val="24"/>
          <w:szCs w:val="24"/>
        </w:rPr>
        <w:t xml:space="preserve"> </w:t>
      </w:r>
      <w:proofErr w:type="spellStart"/>
      <w:r w:rsidRPr="00D7715A">
        <w:rPr>
          <w:sz w:val="24"/>
          <w:szCs w:val="24"/>
        </w:rPr>
        <w:t>modalités</w:t>
      </w:r>
      <w:proofErr w:type="spellEnd"/>
      <w:r w:rsidRPr="00D7715A">
        <w:rPr>
          <w:sz w:val="24"/>
          <w:szCs w:val="24"/>
        </w:rPr>
        <w:t xml:space="preserve"> que les communications </w:t>
      </w:r>
      <w:proofErr w:type="spellStart"/>
      <w:r w:rsidRPr="00D7715A">
        <w:rPr>
          <w:sz w:val="24"/>
          <w:szCs w:val="24"/>
        </w:rPr>
        <w:t>soumises</w:t>
      </w:r>
      <w:proofErr w:type="spellEnd"/>
      <w:r w:rsidRPr="00D7715A">
        <w:rPr>
          <w:sz w:val="24"/>
          <w:szCs w:val="24"/>
        </w:rPr>
        <w:t xml:space="preserve"> </w:t>
      </w:r>
      <w:proofErr w:type="spellStart"/>
      <w:r w:rsidRPr="00D7715A">
        <w:rPr>
          <w:sz w:val="24"/>
          <w:szCs w:val="24"/>
        </w:rPr>
        <w:t>dans</w:t>
      </w:r>
      <w:proofErr w:type="spellEnd"/>
      <w:r w:rsidRPr="00D7715A">
        <w:rPr>
          <w:sz w:val="24"/>
          <w:szCs w:val="24"/>
        </w:rPr>
        <w:t xml:space="preserve"> le </w:t>
      </w:r>
      <w:proofErr w:type="spellStart"/>
      <w:r w:rsidRPr="00D7715A">
        <w:rPr>
          <w:sz w:val="24"/>
          <w:szCs w:val="24"/>
        </w:rPr>
        <w:t>programme</w:t>
      </w:r>
      <w:proofErr w:type="spellEnd"/>
      <w:r w:rsidRPr="00D7715A">
        <w:rPr>
          <w:sz w:val="24"/>
          <w:szCs w:val="24"/>
        </w:rPr>
        <w:t xml:space="preserve"> </w:t>
      </w:r>
      <w:proofErr w:type="spellStart"/>
      <w:r w:rsidRPr="00D7715A">
        <w:rPr>
          <w:sz w:val="24"/>
          <w:szCs w:val="24"/>
        </w:rPr>
        <w:t>général</w:t>
      </w:r>
      <w:proofErr w:type="spellEnd"/>
      <w:r w:rsidRPr="00D7715A">
        <w:rPr>
          <w:sz w:val="24"/>
          <w:szCs w:val="24"/>
        </w:rPr>
        <w:t>.</w:t>
      </w:r>
      <w:r w:rsidR="00D7715A">
        <w:rPr>
          <w:sz w:val="24"/>
          <w:szCs w:val="24"/>
        </w:rPr>
        <w:t xml:space="preserve"> La </w:t>
      </w:r>
      <w:proofErr w:type="spellStart"/>
      <w:r w:rsidR="00D7715A">
        <w:rPr>
          <w:sz w:val="24"/>
          <w:szCs w:val="24"/>
        </w:rPr>
        <w:t>liste</w:t>
      </w:r>
      <w:proofErr w:type="spellEnd"/>
      <w:r w:rsidR="00D7715A">
        <w:rPr>
          <w:sz w:val="24"/>
          <w:szCs w:val="24"/>
        </w:rPr>
        <w:t xml:space="preserve"> des </w:t>
      </w:r>
      <w:r w:rsidR="002A2B1C">
        <w:rPr>
          <w:sz w:val="24"/>
          <w:szCs w:val="24"/>
        </w:rPr>
        <w:t xml:space="preserve">TRACKS </w:t>
      </w:r>
      <w:proofErr w:type="spellStart"/>
      <w:r w:rsidR="002A2B1C">
        <w:rPr>
          <w:sz w:val="24"/>
          <w:szCs w:val="24"/>
        </w:rPr>
        <w:t>est</w:t>
      </w:r>
      <w:proofErr w:type="spellEnd"/>
      <w:r w:rsidR="002A2B1C">
        <w:rPr>
          <w:sz w:val="24"/>
          <w:szCs w:val="24"/>
        </w:rPr>
        <w:t xml:space="preserve"> </w:t>
      </w:r>
      <w:proofErr w:type="spellStart"/>
      <w:r w:rsidR="00D7715A">
        <w:rPr>
          <w:sz w:val="24"/>
          <w:szCs w:val="24"/>
        </w:rPr>
        <w:t>disponible</w:t>
      </w:r>
      <w:proofErr w:type="spellEnd"/>
      <w:r w:rsidR="00D7715A">
        <w:rPr>
          <w:sz w:val="24"/>
          <w:szCs w:val="24"/>
        </w:rPr>
        <w:t xml:space="preserve"> </w:t>
      </w:r>
      <w:bookmarkStart w:id="0" w:name="_GoBack"/>
      <w:bookmarkEnd w:id="0"/>
      <w:r w:rsidR="00D7715A">
        <w:rPr>
          <w:sz w:val="24"/>
          <w:szCs w:val="24"/>
        </w:rPr>
        <w:t xml:space="preserve">sur le site du </w:t>
      </w:r>
      <w:proofErr w:type="spellStart"/>
      <w:r w:rsidR="00D7715A">
        <w:rPr>
          <w:sz w:val="24"/>
          <w:szCs w:val="24"/>
        </w:rPr>
        <w:t>congrès</w:t>
      </w:r>
      <w:proofErr w:type="spellEnd"/>
      <w:r w:rsidR="00D7715A">
        <w:rPr>
          <w:sz w:val="24"/>
          <w:szCs w:val="24"/>
        </w:rPr>
        <w:t xml:space="preserve"> AGRH 2020.</w:t>
      </w:r>
    </w:p>
    <w:p w:rsidR="007A21EA" w:rsidRDefault="007A21EA" w:rsidP="00435785">
      <w:pPr>
        <w:widowControl/>
        <w:pBdr>
          <w:top w:val="single" w:sz="4" w:space="1" w:color="auto"/>
          <w:left w:val="single" w:sz="4" w:space="4" w:color="auto"/>
          <w:bottom w:val="single" w:sz="4" w:space="1" w:color="auto"/>
          <w:right w:val="single" w:sz="4" w:space="4" w:color="auto"/>
        </w:pBdr>
        <w:autoSpaceDE/>
        <w:autoSpaceDN/>
        <w:spacing w:after="120"/>
        <w:contextualSpacing/>
        <w:jc w:val="both"/>
        <w:rPr>
          <w:rFonts w:eastAsiaTheme="minorHAnsi"/>
          <w:lang w:val="fr-FR"/>
        </w:rPr>
      </w:pPr>
    </w:p>
    <w:p w:rsidR="00971CD9" w:rsidRPr="00971CD9" w:rsidRDefault="00971CD9" w:rsidP="0043578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rFonts w:ascii="Arial" w:hAnsi="Arial" w:cs="Arial"/>
          <w:color w:val="000000" w:themeColor="text1"/>
        </w:rPr>
      </w:pPr>
      <w:r w:rsidRPr="00971CD9">
        <w:rPr>
          <w:rFonts w:ascii="Arial" w:hAnsi="Arial" w:cs="Arial"/>
          <w:color w:val="000000" w:themeColor="text1"/>
        </w:rPr>
        <w:t xml:space="preserve">Il est également possible de proposer des projets de </w:t>
      </w:r>
      <w:r w:rsidRPr="00971CD9">
        <w:rPr>
          <w:rFonts w:ascii="Arial" w:hAnsi="Arial" w:cs="Arial"/>
          <w:b/>
          <w:bCs/>
          <w:color w:val="000000" w:themeColor="text1"/>
        </w:rPr>
        <w:t>symposium</w:t>
      </w:r>
      <w:r w:rsidRPr="00971CD9">
        <w:rPr>
          <w:rFonts w:ascii="Arial" w:hAnsi="Arial" w:cs="Arial"/>
          <w:color w:val="000000" w:themeColor="text1"/>
        </w:rPr>
        <w:t xml:space="preserve">. Date limite de dépôt : </w:t>
      </w:r>
      <w:r w:rsidRPr="00971CD9">
        <w:rPr>
          <w:rFonts w:ascii="Arial" w:hAnsi="Arial" w:cs="Arial"/>
          <w:i/>
          <w:iCs/>
          <w:color w:val="000000" w:themeColor="text1"/>
        </w:rPr>
        <w:t>30 juin 2020</w:t>
      </w:r>
      <w:r w:rsidRPr="00971CD9">
        <w:rPr>
          <w:rFonts w:ascii="Arial" w:hAnsi="Arial" w:cs="Arial"/>
          <w:color w:val="000000" w:themeColor="text1"/>
        </w:rPr>
        <w:t xml:space="preserve">. Les symposiums visent à développer les échanges avec le monde socio-économique. Ce format consiste aussi </w:t>
      </w:r>
      <w:proofErr w:type="spellStart"/>
      <w:r w:rsidRPr="00971CD9">
        <w:rPr>
          <w:rFonts w:ascii="Arial" w:hAnsi="Arial" w:cs="Arial"/>
          <w:color w:val="000000" w:themeColor="text1"/>
        </w:rPr>
        <w:t>a</w:t>
      </w:r>
      <w:proofErr w:type="spellEnd"/>
      <w:r w:rsidRPr="00971CD9">
        <w:rPr>
          <w:rFonts w:ascii="Arial" w:hAnsi="Arial" w:cs="Arial"/>
          <w:color w:val="000000" w:themeColor="text1"/>
        </w:rPr>
        <w:t>̀ favoriser des sessions dédiées à une thématique commune à travers la proposition concertée de plusieurs communications articulées autour d’un sujet novateur, important, émergent ou d’actualité.</w:t>
      </w:r>
    </w:p>
    <w:p w:rsidR="00971CD9" w:rsidRPr="00435785" w:rsidRDefault="00971CD9" w:rsidP="00435785">
      <w:pPr>
        <w:widowControl/>
        <w:autoSpaceDE/>
        <w:autoSpaceDN/>
        <w:spacing w:after="120"/>
        <w:contextualSpacing/>
        <w:jc w:val="both"/>
        <w:rPr>
          <w:color w:val="000000" w:themeColor="text1"/>
          <w:lang w:val="fr-FR"/>
        </w:rPr>
      </w:pPr>
      <w:r w:rsidRPr="00435785">
        <w:rPr>
          <w:color w:val="000000" w:themeColor="text1"/>
          <w:lang w:val="fr-FR"/>
        </w:rPr>
        <w:t xml:space="preserve">. </w:t>
      </w:r>
    </w:p>
    <w:p w:rsidR="00971CD9" w:rsidRPr="00971CD9" w:rsidRDefault="00971CD9" w:rsidP="00971CD9">
      <w:pPr>
        <w:rPr>
          <w:lang w:val="fr-FR"/>
        </w:rPr>
      </w:pPr>
    </w:p>
    <w:p w:rsidR="00971CD9" w:rsidRPr="005E1372" w:rsidRDefault="00971CD9" w:rsidP="00971CD9">
      <w:pPr>
        <w:jc w:val="both"/>
        <w:rPr>
          <w:sz w:val="24"/>
          <w:szCs w:val="24"/>
          <w:lang w:val="fr-FR"/>
        </w:rPr>
      </w:pPr>
      <w:r w:rsidRPr="005E1372">
        <w:rPr>
          <w:sz w:val="24"/>
          <w:szCs w:val="24"/>
          <w:lang w:val="fr-FR"/>
        </w:rPr>
        <w:t>Cinq prix seront remis à l’occasion du 31</w:t>
      </w:r>
      <w:r w:rsidRPr="005E1372">
        <w:rPr>
          <w:sz w:val="24"/>
          <w:szCs w:val="24"/>
          <w:vertAlign w:val="superscript"/>
          <w:lang w:val="fr-FR"/>
        </w:rPr>
        <w:t>ème</w:t>
      </w:r>
      <w:r w:rsidRPr="005E1372">
        <w:rPr>
          <w:sz w:val="24"/>
          <w:szCs w:val="24"/>
          <w:lang w:val="fr-FR"/>
        </w:rPr>
        <w:t xml:space="preserve"> congrès de l’AGRH Tours 2020 : prix de la meilleure communication, prix de la meilleure communication « jeune chercheur », prix du meilleur cas de GRH et de l’innovation pédagogique, prix du meilleur évaluateur et prix de la meilleure communication atelier doctoral.</w:t>
      </w:r>
    </w:p>
    <w:p w:rsidR="00971CD9" w:rsidRPr="005E1372" w:rsidRDefault="00971CD9" w:rsidP="00971CD9">
      <w:pPr>
        <w:jc w:val="both"/>
        <w:rPr>
          <w:sz w:val="24"/>
          <w:szCs w:val="24"/>
          <w:lang w:val="fr-FR"/>
        </w:rPr>
      </w:pPr>
    </w:p>
    <w:p w:rsidR="00971CD9" w:rsidRPr="005E1372" w:rsidRDefault="00971CD9" w:rsidP="00971CD9">
      <w:pPr>
        <w:jc w:val="both"/>
        <w:rPr>
          <w:sz w:val="24"/>
          <w:szCs w:val="24"/>
          <w:lang w:val="fr-FR"/>
        </w:rPr>
      </w:pPr>
      <w:r w:rsidRPr="005E1372">
        <w:rPr>
          <w:sz w:val="24"/>
          <w:szCs w:val="24"/>
          <w:lang w:val="fr-FR"/>
        </w:rPr>
        <w:t>Une sélection des meilleures communications sera publiée dans la revue @</w:t>
      </w:r>
      <w:proofErr w:type="spellStart"/>
      <w:r w:rsidRPr="005E1372">
        <w:rPr>
          <w:sz w:val="24"/>
          <w:szCs w:val="24"/>
          <w:lang w:val="fr-FR"/>
        </w:rPr>
        <w:t>grh</w:t>
      </w:r>
      <w:proofErr w:type="spellEnd"/>
      <w:r w:rsidRPr="005E1372">
        <w:rPr>
          <w:sz w:val="24"/>
          <w:szCs w:val="24"/>
          <w:lang w:val="fr-FR"/>
        </w:rPr>
        <w:t xml:space="preserve">. </w:t>
      </w:r>
    </w:p>
    <w:p w:rsidR="00971CD9" w:rsidRPr="00971CD9" w:rsidRDefault="006B1544" w:rsidP="00971CD9">
      <w:pPr>
        <w:pStyle w:val="zfr3q"/>
        <w:spacing w:before="225" w:beforeAutospacing="0" w:after="0" w:afterAutospacing="0"/>
        <w:jc w:val="both"/>
        <w:rPr>
          <w:rFonts w:ascii="Arial" w:hAnsi="Arial" w:cs="Arial"/>
          <w:color w:val="212121"/>
        </w:rPr>
      </w:pPr>
      <w:r>
        <w:rPr>
          <w:rFonts w:ascii="Arial" w:hAnsi="Arial" w:cs="Arial"/>
          <w:noProof/>
          <w:color w:val="212121"/>
        </w:rPr>
        <w:drawing>
          <wp:anchor distT="0" distB="0" distL="114300" distR="114300" simplePos="0" relativeHeight="251645952" behindDoc="1" locked="0" layoutInCell="1" allowOverlap="1">
            <wp:simplePos x="0" y="0"/>
            <wp:positionH relativeFrom="column">
              <wp:posOffset>4721860</wp:posOffset>
            </wp:positionH>
            <wp:positionV relativeFrom="paragraph">
              <wp:posOffset>174625</wp:posOffset>
            </wp:positionV>
            <wp:extent cx="1438275" cy="2169795"/>
            <wp:effectExtent l="0" t="0" r="0" b="0"/>
            <wp:wrapTight wrapText="left">
              <wp:wrapPolygon edited="0">
                <wp:start x="0" y="0"/>
                <wp:lineTo x="0" y="21493"/>
                <wp:lineTo x="21362" y="21493"/>
                <wp:lineTo x="21362" y="0"/>
                <wp:lineTo x="0" y="0"/>
              </wp:wrapPolygon>
            </wp:wrapTight>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lace Plumereau 03_SFrémo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8275" cy="2169795"/>
                    </a:xfrm>
                    <a:prstGeom prst="rect">
                      <a:avLst/>
                    </a:prstGeom>
                  </pic:spPr>
                </pic:pic>
              </a:graphicData>
            </a:graphic>
            <wp14:sizeRelH relativeFrom="margin">
              <wp14:pctWidth>0</wp14:pctWidth>
            </wp14:sizeRelH>
            <wp14:sizeRelV relativeFrom="margin">
              <wp14:pctHeight>0</wp14:pctHeight>
            </wp14:sizeRelV>
          </wp:anchor>
        </w:drawing>
      </w:r>
      <w:r w:rsidR="00971CD9" w:rsidRPr="006B1544">
        <w:rPr>
          <w:rStyle w:val="lev"/>
          <w:rFonts w:ascii="Arial" w:hAnsi="Arial" w:cs="Arial"/>
          <w:color w:val="007E39"/>
        </w:rPr>
        <w:t>Comité d'organisation :</w:t>
      </w:r>
      <w:r w:rsidR="00971CD9" w:rsidRPr="00971CD9">
        <w:rPr>
          <w:rFonts w:ascii="Arial" w:hAnsi="Arial" w:cs="Arial"/>
          <w:color w:val="212121"/>
        </w:rPr>
        <w:t xml:space="preserve"> Jocelyne Abraham, Elise </w:t>
      </w:r>
      <w:proofErr w:type="spellStart"/>
      <w:r w:rsidR="00971CD9" w:rsidRPr="00971CD9">
        <w:rPr>
          <w:rFonts w:ascii="Arial" w:hAnsi="Arial" w:cs="Arial"/>
          <w:color w:val="212121"/>
        </w:rPr>
        <w:t>Bonneveux</w:t>
      </w:r>
      <w:proofErr w:type="spellEnd"/>
      <w:r w:rsidR="00971CD9" w:rsidRPr="00971CD9">
        <w:rPr>
          <w:rFonts w:ascii="Arial" w:hAnsi="Arial" w:cs="Arial"/>
          <w:color w:val="212121"/>
        </w:rPr>
        <w:t xml:space="preserve">, Adeline Gilson, Annabelle Hulin, </w:t>
      </w:r>
      <w:proofErr w:type="spellStart"/>
      <w:r w:rsidR="00971CD9" w:rsidRPr="00971CD9">
        <w:rPr>
          <w:rFonts w:ascii="Arial" w:hAnsi="Arial" w:cs="Arial"/>
          <w:color w:val="212121"/>
        </w:rPr>
        <w:t>Typhaine</w:t>
      </w:r>
      <w:proofErr w:type="spellEnd"/>
      <w:r w:rsidR="00971CD9" w:rsidRPr="00971CD9">
        <w:rPr>
          <w:rFonts w:ascii="Arial" w:hAnsi="Arial" w:cs="Arial"/>
          <w:color w:val="212121"/>
        </w:rPr>
        <w:t xml:space="preserve"> </w:t>
      </w:r>
      <w:proofErr w:type="spellStart"/>
      <w:r w:rsidR="00971CD9" w:rsidRPr="00971CD9">
        <w:rPr>
          <w:rFonts w:ascii="Arial" w:hAnsi="Arial" w:cs="Arial"/>
          <w:color w:val="212121"/>
        </w:rPr>
        <w:t>Lebègue</w:t>
      </w:r>
      <w:proofErr w:type="spellEnd"/>
      <w:r w:rsidR="00971CD9" w:rsidRPr="00971CD9">
        <w:rPr>
          <w:rFonts w:ascii="Arial" w:hAnsi="Arial" w:cs="Arial"/>
          <w:color w:val="212121"/>
        </w:rPr>
        <w:t xml:space="preserve">, </w:t>
      </w:r>
      <w:proofErr w:type="spellStart"/>
      <w:r w:rsidR="00971CD9" w:rsidRPr="00971CD9">
        <w:rPr>
          <w:rFonts w:ascii="Arial" w:hAnsi="Arial" w:cs="Arial"/>
          <w:color w:val="212121"/>
        </w:rPr>
        <w:t>Adama</w:t>
      </w:r>
      <w:proofErr w:type="spellEnd"/>
      <w:r w:rsidR="00971CD9" w:rsidRPr="00971CD9">
        <w:rPr>
          <w:rFonts w:ascii="Arial" w:hAnsi="Arial" w:cs="Arial"/>
          <w:color w:val="212121"/>
        </w:rPr>
        <w:t xml:space="preserve"> Ndiaye, Séverine </w:t>
      </w:r>
      <w:proofErr w:type="spellStart"/>
      <w:r w:rsidR="00971CD9" w:rsidRPr="00971CD9">
        <w:rPr>
          <w:rFonts w:ascii="Arial" w:hAnsi="Arial" w:cs="Arial"/>
          <w:color w:val="212121"/>
        </w:rPr>
        <w:t>Ventolini</w:t>
      </w:r>
      <w:proofErr w:type="spellEnd"/>
      <w:r w:rsidR="00971CD9" w:rsidRPr="00971CD9">
        <w:rPr>
          <w:rFonts w:ascii="Arial" w:hAnsi="Arial" w:cs="Arial"/>
          <w:color w:val="212121"/>
        </w:rPr>
        <w:t>.</w:t>
      </w:r>
    </w:p>
    <w:p w:rsidR="00971CD9" w:rsidRPr="00971CD9" w:rsidRDefault="00971CD9" w:rsidP="00971CD9">
      <w:pPr>
        <w:pStyle w:val="zfr3q"/>
        <w:spacing w:before="225" w:beforeAutospacing="0" w:after="0" w:afterAutospacing="0"/>
        <w:jc w:val="both"/>
        <w:rPr>
          <w:rFonts w:ascii="Arial" w:hAnsi="Arial" w:cs="Arial"/>
          <w:color w:val="212121"/>
        </w:rPr>
      </w:pPr>
      <w:r w:rsidRPr="006B1544">
        <w:rPr>
          <w:rStyle w:val="lev"/>
          <w:rFonts w:ascii="Arial" w:hAnsi="Arial" w:cs="Arial"/>
          <w:color w:val="007E39"/>
        </w:rPr>
        <w:t>Présidence du Comité scientifique</w:t>
      </w:r>
      <w:r w:rsidRPr="006B1544">
        <w:rPr>
          <w:rFonts w:ascii="Arial" w:hAnsi="Arial" w:cs="Arial"/>
          <w:color w:val="007E39"/>
        </w:rPr>
        <w:t xml:space="preserve"> :</w:t>
      </w:r>
      <w:r w:rsidRPr="00971CD9">
        <w:rPr>
          <w:rFonts w:ascii="Arial" w:hAnsi="Arial" w:cs="Arial"/>
          <w:color w:val="212121"/>
        </w:rPr>
        <w:t xml:space="preserve"> Charles-Henri </w:t>
      </w:r>
      <w:proofErr w:type="spellStart"/>
      <w:r w:rsidRPr="00971CD9">
        <w:rPr>
          <w:rFonts w:ascii="Arial" w:hAnsi="Arial" w:cs="Arial"/>
          <w:color w:val="212121"/>
        </w:rPr>
        <w:t>Besseyre</w:t>
      </w:r>
      <w:proofErr w:type="spellEnd"/>
      <w:r w:rsidRPr="00971CD9">
        <w:rPr>
          <w:rFonts w:ascii="Arial" w:hAnsi="Arial" w:cs="Arial"/>
          <w:color w:val="212121"/>
        </w:rPr>
        <w:t xml:space="preserve"> des </w:t>
      </w:r>
      <w:proofErr w:type="spellStart"/>
      <w:r w:rsidRPr="00971CD9">
        <w:rPr>
          <w:rFonts w:ascii="Arial" w:hAnsi="Arial" w:cs="Arial"/>
          <w:color w:val="212121"/>
        </w:rPr>
        <w:t>Horts</w:t>
      </w:r>
      <w:proofErr w:type="spellEnd"/>
      <w:r w:rsidRPr="00971CD9">
        <w:rPr>
          <w:rFonts w:ascii="Arial" w:hAnsi="Arial" w:cs="Arial"/>
          <w:color w:val="212121"/>
        </w:rPr>
        <w:t xml:space="preserve"> (AGRH), </w:t>
      </w:r>
      <w:proofErr w:type="spellStart"/>
      <w:r w:rsidRPr="00971CD9">
        <w:rPr>
          <w:rFonts w:ascii="Arial" w:hAnsi="Arial" w:cs="Arial"/>
          <w:color w:val="212121"/>
        </w:rPr>
        <w:t>Eric</w:t>
      </w:r>
      <w:proofErr w:type="spellEnd"/>
      <w:r w:rsidRPr="00971CD9">
        <w:rPr>
          <w:rFonts w:ascii="Arial" w:hAnsi="Arial" w:cs="Arial"/>
          <w:color w:val="212121"/>
        </w:rPr>
        <w:t xml:space="preserve"> </w:t>
      </w:r>
      <w:proofErr w:type="spellStart"/>
      <w:r w:rsidRPr="00971CD9">
        <w:rPr>
          <w:rFonts w:ascii="Arial" w:hAnsi="Arial" w:cs="Arial"/>
          <w:color w:val="212121"/>
        </w:rPr>
        <w:t>Davoine</w:t>
      </w:r>
      <w:proofErr w:type="spellEnd"/>
      <w:r w:rsidRPr="00971CD9">
        <w:rPr>
          <w:rFonts w:ascii="Arial" w:hAnsi="Arial" w:cs="Arial"/>
          <w:color w:val="212121"/>
        </w:rPr>
        <w:t xml:space="preserve"> (AGRH), Florence </w:t>
      </w:r>
      <w:proofErr w:type="spellStart"/>
      <w:r w:rsidRPr="00971CD9">
        <w:rPr>
          <w:rFonts w:ascii="Arial" w:hAnsi="Arial" w:cs="Arial"/>
          <w:color w:val="212121"/>
        </w:rPr>
        <w:t>Noguera</w:t>
      </w:r>
      <w:proofErr w:type="spellEnd"/>
      <w:r w:rsidRPr="00971CD9">
        <w:rPr>
          <w:rFonts w:ascii="Arial" w:hAnsi="Arial" w:cs="Arial"/>
          <w:color w:val="212121"/>
        </w:rPr>
        <w:t xml:space="preserve"> (AGRH), Annabelle Hulin (IAE de Tours, VALLOREM), Séverine </w:t>
      </w:r>
      <w:proofErr w:type="spellStart"/>
      <w:r w:rsidRPr="00971CD9">
        <w:rPr>
          <w:rFonts w:ascii="Arial" w:hAnsi="Arial" w:cs="Arial"/>
          <w:color w:val="212121"/>
        </w:rPr>
        <w:t>Ventolini</w:t>
      </w:r>
      <w:proofErr w:type="spellEnd"/>
      <w:r w:rsidRPr="00971CD9">
        <w:rPr>
          <w:rFonts w:ascii="Arial" w:hAnsi="Arial" w:cs="Arial"/>
          <w:color w:val="212121"/>
        </w:rPr>
        <w:t xml:space="preserve"> (IAE de Tours, VALLOREM).</w:t>
      </w:r>
    </w:p>
    <w:p w:rsidR="00971CD9" w:rsidRPr="00971CD9" w:rsidRDefault="00971CD9" w:rsidP="00971CD9">
      <w:pPr>
        <w:pStyle w:val="zfr3q"/>
        <w:spacing w:before="225" w:beforeAutospacing="0" w:after="0" w:afterAutospacing="0"/>
        <w:jc w:val="both"/>
        <w:rPr>
          <w:rFonts w:ascii="Arial" w:hAnsi="Arial" w:cs="Arial"/>
          <w:color w:val="212121"/>
        </w:rPr>
      </w:pPr>
      <w:r w:rsidRPr="00971CD9">
        <w:rPr>
          <w:rFonts w:ascii="Arial" w:hAnsi="Arial" w:cs="Arial"/>
          <w:color w:val="212121"/>
        </w:rPr>
        <w:t xml:space="preserve">Pour toute information complémentaire, consulter le site internet du congrès : </w:t>
      </w:r>
      <w:r w:rsidRPr="005E1372">
        <w:rPr>
          <w:rFonts w:ascii="Arial" w:hAnsi="Arial" w:cs="Arial"/>
          <w:b/>
          <w:color w:val="212121"/>
        </w:rPr>
        <w:t>https://agrh2020.sciencesconf.org</w:t>
      </w:r>
    </w:p>
    <w:p w:rsidR="00971CD9" w:rsidRPr="00971CD9" w:rsidRDefault="00971CD9" w:rsidP="00971CD9">
      <w:pPr>
        <w:pStyle w:val="zfr3q"/>
        <w:spacing w:before="225" w:beforeAutospacing="0" w:after="0" w:afterAutospacing="0"/>
        <w:jc w:val="both"/>
        <w:rPr>
          <w:rFonts w:ascii="Arial" w:hAnsi="Arial" w:cs="Arial"/>
          <w:color w:val="212121"/>
        </w:rPr>
      </w:pPr>
      <w:r w:rsidRPr="00971CD9">
        <w:rPr>
          <w:rFonts w:ascii="Arial" w:hAnsi="Arial" w:cs="Arial"/>
          <w:color w:val="212121"/>
          <w:u w:val="single"/>
        </w:rPr>
        <w:t>Contact</w:t>
      </w:r>
      <w:r w:rsidRPr="00971CD9">
        <w:rPr>
          <w:rFonts w:ascii="Arial" w:hAnsi="Arial" w:cs="Arial"/>
          <w:color w:val="212121"/>
        </w:rPr>
        <w:t xml:space="preserve"> : </w:t>
      </w:r>
      <w:hyperlink r:id="rId14" w:history="1">
        <w:r w:rsidRPr="00971CD9">
          <w:rPr>
            <w:rStyle w:val="Lienhypertexte"/>
            <w:rFonts w:ascii="Arial" w:hAnsi="Arial" w:cs="Arial"/>
          </w:rPr>
          <w:t>agrh2020@univ-tours.fr</w:t>
        </w:r>
      </w:hyperlink>
      <w:r w:rsidRPr="00971CD9">
        <w:rPr>
          <w:rFonts w:ascii="Arial" w:hAnsi="Arial" w:cs="Arial"/>
          <w:color w:val="212121"/>
        </w:rPr>
        <w:t xml:space="preserve"> </w:t>
      </w:r>
    </w:p>
    <w:p w:rsidR="00971CD9" w:rsidRPr="00971CD9" w:rsidRDefault="00971CD9" w:rsidP="00971CD9">
      <w:pPr>
        <w:jc w:val="both"/>
        <w:rPr>
          <w:lang w:val="fr-FR"/>
        </w:rPr>
      </w:pPr>
    </w:p>
    <w:sectPr w:rsidR="00971CD9" w:rsidRPr="00971CD9" w:rsidSect="006B1544">
      <w:footerReference w:type="default" r:id="rId15"/>
      <w:type w:val="continuous"/>
      <w:pgSz w:w="11900" w:h="16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40" w:rsidRDefault="002C2640">
      <w:r>
        <w:separator/>
      </w:r>
    </w:p>
  </w:endnote>
  <w:endnote w:type="continuationSeparator" w:id="0">
    <w:p w:rsidR="002C2640" w:rsidRDefault="002C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DE" w:rsidRDefault="00971CD9">
    <w:pPr>
      <w:pStyle w:val="Corpsdetexte"/>
      <w:spacing w:line="14" w:lineRule="auto"/>
      <w:rPr>
        <w:sz w:val="20"/>
      </w:rPr>
    </w:pPr>
    <w:r>
      <w:rPr>
        <w:noProof/>
        <w:lang w:val="fr-FR" w:eastAsia="fr-FR"/>
      </w:rPr>
      <mc:AlternateContent>
        <mc:Choice Requires="wps">
          <w:drawing>
            <wp:anchor distT="0" distB="0" distL="114300" distR="114300" simplePos="0" relativeHeight="251659776" behindDoc="1" locked="0" layoutInCell="1" allowOverlap="1">
              <wp:simplePos x="0" y="0"/>
              <wp:positionH relativeFrom="page">
                <wp:posOffset>6475730</wp:posOffset>
              </wp:positionH>
              <wp:positionV relativeFrom="page">
                <wp:posOffset>9754870</wp:posOffset>
              </wp:positionV>
              <wp:extent cx="228600" cy="194310"/>
              <wp:effectExtent l="0" t="0" r="0" b="0"/>
              <wp:wrapNone/>
              <wp:docPr id="1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CDE" w:rsidRDefault="00D236AB">
                          <w:pPr>
                            <w:pStyle w:val="Corpsdetexte"/>
                            <w:spacing w:before="10"/>
                            <w:ind w:left="60"/>
                            <w:rPr>
                              <w:rFonts w:ascii="Times New Roman"/>
                            </w:rPr>
                          </w:pPr>
                          <w:r>
                            <w:fldChar w:fldCharType="begin"/>
                          </w:r>
                          <w:r>
                            <w:rPr>
                              <w:rFonts w:ascii="Times New Roman"/>
                            </w:rPr>
                            <w:instrText xml:space="preserve"> PAGE </w:instrText>
                          </w:r>
                          <w:r>
                            <w:fldChar w:fldCharType="separate"/>
                          </w:r>
                          <w:r w:rsidR="002A2B1C">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9pt;margin-top:768.1pt;width:18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" filled="f" stroked="f">
              <v:path arrowok="t"/>
              <v:textbox inset="0,0,0,0">
                <w:txbxContent>
                  <w:p w:rsidR="00951CDE" w:rsidRDefault="00D236AB">
                    <w:pPr>
                      <w:pStyle w:val="Corpsdetexte"/>
                      <w:spacing w:before="10"/>
                      <w:ind w:left="60"/>
                      <w:rPr>
                        <w:rFonts w:ascii="Times New Roman"/>
                      </w:rPr>
                    </w:pPr>
                    <w:r>
                      <w:fldChar w:fldCharType="begin"/>
                    </w:r>
                    <w:r>
                      <w:rPr>
                        <w:rFonts w:ascii="Times New Roman"/>
                      </w:rPr>
                      <w:instrText xml:space="preserve"> PAGE </w:instrText>
                    </w:r>
                    <w:r>
                      <w:fldChar w:fldCharType="separate"/>
                    </w:r>
                    <w:r w:rsidR="002A2B1C">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40" w:rsidRDefault="002C2640">
      <w:r>
        <w:separator/>
      </w:r>
    </w:p>
  </w:footnote>
  <w:footnote w:type="continuationSeparator" w:id="0">
    <w:p w:rsidR="002C2640" w:rsidRDefault="002C2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0552"/>
    <w:multiLevelType w:val="multilevel"/>
    <w:tmpl w:val="A7EE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B2D9C"/>
    <w:multiLevelType w:val="hybridMultilevel"/>
    <w:tmpl w:val="B25296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AB3331"/>
    <w:multiLevelType w:val="hybridMultilevel"/>
    <w:tmpl w:val="5A8037E0"/>
    <w:lvl w:ilvl="0" w:tplc="F32A28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973B70"/>
    <w:multiLevelType w:val="multilevel"/>
    <w:tmpl w:val="D0EA1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661743"/>
    <w:multiLevelType w:val="multilevel"/>
    <w:tmpl w:val="5AC8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DE"/>
    <w:rsid w:val="000101A1"/>
    <w:rsid w:val="00054FFE"/>
    <w:rsid w:val="00265CC5"/>
    <w:rsid w:val="00291929"/>
    <w:rsid w:val="002A2B1C"/>
    <w:rsid w:val="002B0E1C"/>
    <w:rsid w:val="002C2640"/>
    <w:rsid w:val="00435785"/>
    <w:rsid w:val="005E1372"/>
    <w:rsid w:val="006B1544"/>
    <w:rsid w:val="007A21EA"/>
    <w:rsid w:val="007C0B93"/>
    <w:rsid w:val="00804297"/>
    <w:rsid w:val="00951CDE"/>
    <w:rsid w:val="00971CD9"/>
    <w:rsid w:val="00A63717"/>
    <w:rsid w:val="00B7476E"/>
    <w:rsid w:val="00C623AE"/>
    <w:rsid w:val="00D236AB"/>
    <w:rsid w:val="00D7715A"/>
    <w:rsid w:val="00EA6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77698"/>
  <w15:docId w15:val="{60026722-BCCA-8B4C-BC04-1B80C93D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87"/>
      <w:ind w:left="821" w:right="718"/>
      <w:jc w:val="center"/>
      <w:outlineLvl w:val="0"/>
    </w:pPr>
    <w:rPr>
      <w:b/>
      <w:bCs/>
      <w:sz w:val="40"/>
      <w:szCs w:val="40"/>
    </w:rPr>
  </w:style>
  <w:style w:type="paragraph" w:styleId="Titre2">
    <w:name w:val="heading 2"/>
    <w:basedOn w:val="Normal"/>
    <w:uiPriority w:val="9"/>
    <w:unhideWhenUsed/>
    <w:qFormat/>
    <w:pPr>
      <w:spacing w:before="88"/>
      <w:ind w:left="820" w:right="718"/>
      <w:jc w:val="center"/>
      <w:outlineLvl w:val="1"/>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pPr>
      <w:spacing w:before="19"/>
      <w:ind w:left="14"/>
    </w:pPr>
  </w:style>
  <w:style w:type="paragraph" w:styleId="En-tte">
    <w:name w:val="header"/>
    <w:basedOn w:val="Normal"/>
    <w:link w:val="En-tteCar"/>
    <w:uiPriority w:val="99"/>
    <w:unhideWhenUsed/>
    <w:rsid w:val="00971CD9"/>
    <w:pPr>
      <w:tabs>
        <w:tab w:val="center" w:pos="4536"/>
        <w:tab w:val="right" w:pos="9072"/>
      </w:tabs>
    </w:pPr>
  </w:style>
  <w:style w:type="character" w:customStyle="1" w:styleId="En-tteCar">
    <w:name w:val="En-tête Car"/>
    <w:basedOn w:val="Policepardfaut"/>
    <w:link w:val="En-tte"/>
    <w:uiPriority w:val="99"/>
    <w:rsid w:val="00971CD9"/>
    <w:rPr>
      <w:rFonts w:ascii="Arial" w:eastAsia="Arial" w:hAnsi="Arial" w:cs="Arial"/>
    </w:rPr>
  </w:style>
  <w:style w:type="paragraph" w:styleId="Pieddepage">
    <w:name w:val="footer"/>
    <w:basedOn w:val="Normal"/>
    <w:link w:val="PieddepageCar"/>
    <w:uiPriority w:val="99"/>
    <w:unhideWhenUsed/>
    <w:rsid w:val="00971CD9"/>
    <w:pPr>
      <w:tabs>
        <w:tab w:val="center" w:pos="4536"/>
        <w:tab w:val="right" w:pos="9072"/>
      </w:tabs>
    </w:pPr>
  </w:style>
  <w:style w:type="character" w:customStyle="1" w:styleId="PieddepageCar">
    <w:name w:val="Pied de page Car"/>
    <w:basedOn w:val="Policepardfaut"/>
    <w:link w:val="Pieddepage"/>
    <w:uiPriority w:val="99"/>
    <w:rsid w:val="00971CD9"/>
    <w:rPr>
      <w:rFonts w:ascii="Arial" w:eastAsia="Arial" w:hAnsi="Arial" w:cs="Arial"/>
    </w:rPr>
  </w:style>
  <w:style w:type="paragraph" w:styleId="NormalWeb">
    <w:name w:val="Normal (Web)"/>
    <w:basedOn w:val="Normal"/>
    <w:uiPriority w:val="99"/>
    <w:unhideWhenUsed/>
    <w:rsid w:val="00971CD9"/>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971CD9"/>
    <w:rPr>
      <w:b/>
      <w:bCs/>
    </w:rPr>
  </w:style>
  <w:style w:type="paragraph" w:customStyle="1" w:styleId="zfr3q">
    <w:name w:val="zfr3q"/>
    <w:basedOn w:val="Normal"/>
    <w:rsid w:val="00971CD9"/>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971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grh2020@univ-tour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1349</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Sans titre</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Sans titre</dc:title>
  <dc:creator>SV</dc:creator>
  <cp:lastModifiedBy>Séverine VENTOLINI</cp:lastModifiedBy>
  <cp:revision>3</cp:revision>
  <dcterms:created xsi:type="dcterms:W3CDTF">2020-02-07T14:35:00Z</dcterms:created>
  <dcterms:modified xsi:type="dcterms:W3CDTF">2020-02-07T14:36:00Z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2019-10-27T00:00:00Z</vt:filetime>
  </property>
  <property fmtid="{D5CDD505-2E9C-101B-9397-08002B2CF9AE}" pid="3" name="Creator">
    <vt:lpwstr>Word</vt:lpwstr>
  </property>
  <property fmtid="{D5CDD505-2E9C-101B-9397-08002B2CF9AE}" pid="4" name="LastSaved">
    <vt:filetime>2019-11-12T00:00:00Z</vt:filetime>
  </property>
</Properties>
</file>